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BC" w:rsidRDefault="00836612">
      <w:pPr>
        <w:widowControl w:val="0"/>
        <w:ind w:left="300"/>
        <w:jc w:val="center"/>
        <w:rPr>
          <w:sz w:val="24"/>
          <w:szCs w:val="24"/>
        </w:rPr>
      </w:pPr>
      <w:r>
        <w:rPr>
          <w:sz w:val="24"/>
          <w:szCs w:val="24"/>
        </w:rPr>
        <w:t>ЗАЩИТА ОТ ЭЛЕКТРОМАГНИТНЫХ ПОЛЕЙ</w:t>
      </w:r>
    </w:p>
    <w:p w:rsidR="009B01BC" w:rsidRDefault="009B01BC">
      <w:pPr>
        <w:widowControl w:val="0"/>
        <w:ind w:left="300"/>
        <w:jc w:val="both"/>
        <w:rPr>
          <w:sz w:val="24"/>
          <w:szCs w:val="24"/>
          <w:lang w:val="en-US"/>
        </w:rPr>
      </w:pP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Источники электромагнитных полей радиочастот и их характеристика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Источниками электромагнитных полей (ЭМП) являются: атмосферное электричество, радиоизлучения, электрические и магнитные поля Земли, искусственные источники (установки ТВЧ, радиовещание и телевидение, радиолокация, радионавигация и др.). Источниками излучения электромагнитной энергии являются мощные телевизионные и радиовещательные станции, промышленные установки высокочастотного нагрева, а также многие измерительные, лабораторные приборы. Источниками излучения могут быть любые элементы, включенные в высокочастотную цепь.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Токи высокой частоты применяют для плавления металлов, термической обработки металлов, диэлектриков и полупроводников и для многих других целей. Для научных исследований в медицине применяют токи ультравысокой частоты, в радиотехнике — токи ультравысокой и сверхвысокой частоты. Возникающие при использовании токов высокой частоты электромагнитные поля представляют определенную профессиональную вредность, поэтому необходимо принимать меры защиты от их воздействия на организм.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Токи высокой частоты создают в воздухе излучения, имеющие ту же электромагнитную природу, что и инфракрасное, видимое, рентгеновское и гамма-излучение. Различие между этими видами энергии — в длине волны и частоте колебаний, а значит, и в величине энергии кванта, составляющего электромагнитное поле. Электромагнитные волны, возникающие при колебании электрических зарядов (при прохождении переменных токов), называются </w:t>
      </w:r>
      <w:r>
        <w:rPr>
          <w:i/>
          <w:iCs/>
          <w:sz w:val="24"/>
          <w:szCs w:val="24"/>
        </w:rPr>
        <w:t>радиоволнами.</w:t>
      </w:r>
    </w:p>
    <w:p w:rsidR="009B01BC" w:rsidRDefault="009B01BC">
      <w:pPr>
        <w:widowControl w:val="0"/>
        <w:ind w:left="300"/>
        <w:jc w:val="both"/>
        <w:rPr>
          <w:noProof/>
          <w:sz w:val="24"/>
          <w:szCs w:val="24"/>
        </w:rPr>
      </w:pPr>
    </w:p>
    <w:p w:rsidR="009B01BC" w:rsidRDefault="00CA04E3">
      <w:pPr>
        <w:widowControl w:val="0"/>
        <w:ind w:left="300"/>
        <w:jc w:val="center"/>
        <w:rPr>
          <w:noProof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168.75pt">
            <v:imagedata r:id="rId4" o:title=""/>
          </v:shape>
        </w:pict>
      </w:r>
    </w:p>
    <w:p w:rsidR="009B01BC" w:rsidRDefault="009B01BC">
      <w:pPr>
        <w:widowControl w:val="0"/>
        <w:ind w:left="300"/>
        <w:jc w:val="both"/>
        <w:rPr>
          <w:sz w:val="24"/>
          <w:szCs w:val="24"/>
        </w:rPr>
      </w:pP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Электромагнитное поле характеризуется длиной волны </w:t>
      </w:r>
      <w:r>
        <w:rPr>
          <w:rFonts w:ascii="MT Symbol" w:hAnsi="MT Symbol" w:cs="MT Symbol"/>
          <w:sz w:val="24"/>
          <w:szCs w:val="24"/>
        </w:rPr>
        <w:t></w:t>
      </w:r>
      <w:r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>м</w:t>
      </w:r>
      <w:r>
        <w:rPr>
          <w:sz w:val="24"/>
          <w:szCs w:val="24"/>
        </w:rPr>
        <w:t xml:space="preserve"> или частотой колебания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f,</w:t>
      </w:r>
      <w:r>
        <w:rPr>
          <w:sz w:val="24"/>
          <w:szCs w:val="24"/>
        </w:rPr>
        <w:t xml:space="preserve"> Гц: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rFonts w:ascii="MT Symbol" w:hAnsi="MT Symbol" w:cs="MT Symbol"/>
          <w:sz w:val="24"/>
          <w:szCs w:val="24"/>
        </w:rPr>
        <w:t></w:t>
      </w:r>
      <w:r>
        <w:rPr>
          <w:sz w:val="24"/>
          <w:szCs w:val="24"/>
        </w:rPr>
        <w:t xml:space="preserve"> = </w:t>
      </w:r>
      <w:r>
        <w:rPr>
          <w:i/>
          <w:iCs/>
          <w:sz w:val="24"/>
          <w:szCs w:val="24"/>
        </w:rPr>
        <w:t>сТ</w:t>
      </w:r>
      <w:r>
        <w:rPr>
          <w:sz w:val="24"/>
          <w:szCs w:val="24"/>
        </w:rPr>
        <w:t xml:space="preserve"> ==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elf,</w:t>
      </w:r>
      <w:r>
        <w:rPr>
          <w:sz w:val="24"/>
          <w:szCs w:val="24"/>
        </w:rPr>
        <w:t xml:space="preserve"> или с == </w:t>
      </w:r>
      <w:r>
        <w:rPr>
          <w:rFonts w:ascii="MT Symbol" w:hAnsi="MT Symbol" w:cs="MT Symbol"/>
          <w:sz w:val="24"/>
          <w:szCs w:val="24"/>
        </w:rPr>
        <w:t>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, (45)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где с = 3 •</w:t>
      </w:r>
      <w:r>
        <w:rPr>
          <w:sz w:val="24"/>
          <w:szCs w:val="24"/>
          <w:lang w:val="en-US"/>
        </w:rPr>
        <w:t xml:space="preserve"> 10</w:t>
      </w:r>
      <w:r>
        <w:rPr>
          <w:position w:val="12"/>
          <w:sz w:val="16"/>
          <w:szCs w:val="16"/>
          <w:lang w:val="en-US"/>
        </w:rPr>
        <w:t>s</w:t>
      </w:r>
      <w:r>
        <w:rPr>
          <w:sz w:val="24"/>
          <w:szCs w:val="24"/>
        </w:rPr>
        <w:t xml:space="preserve"> м/с — скорость распространения радиоволн, равная скорости света; </w:t>
      </w:r>
      <w:r>
        <w:rPr>
          <w:i/>
          <w:iCs/>
          <w:sz w:val="24"/>
          <w:szCs w:val="24"/>
        </w:rPr>
        <w:t>f —</w:t>
      </w:r>
      <w:r>
        <w:rPr>
          <w:sz w:val="24"/>
          <w:szCs w:val="24"/>
        </w:rPr>
        <w:t xml:space="preserve"> частота колебаний, Гц;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Т</w:t>
      </w:r>
      <w:r>
        <w:rPr>
          <w:sz w:val="24"/>
          <w:szCs w:val="24"/>
        </w:rPr>
        <w:t xml:space="preserve"> = 1/f — период колебаний.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Интервал длин радиоволн — от миллиметров до десятков километров, что соответствует частотам колебаний в диапазоне от 3 • 10</w:t>
      </w:r>
      <w:r>
        <w:rPr>
          <w:position w:val="12"/>
          <w:sz w:val="16"/>
          <w:szCs w:val="16"/>
        </w:rPr>
        <w:t>4</w:t>
      </w:r>
      <w:r>
        <w:rPr>
          <w:sz w:val="24"/>
          <w:szCs w:val="24"/>
        </w:rPr>
        <w:t xml:space="preserve"> Гц до 3 • 10" Гц (рис. 17).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Интенсивность электромагнитного поля в какой-либо точке пространства зависит от мощности генаратора и расстояния от него. На характер распределения поля в помещении влияет наличие металлических предметов и конструкций, которые являются проводниками, а также диэлектриков, находящихся в ЭМП.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Источники электромагнитных полей промышленной частоты в электроустановках сверхвысокого напряжения (СВН)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При эксплуатации электроэнергетических установок — открытых распределительных устройств (ОРУ) и воздушных ЛЭП напряжением выше 330 кВ — в пространстве вокруг токоведущих частей действующих электроустановок возникает сильное электромагнитное поле, влияющее на здоровье людей. В электроустановках напряжением ниже 330 кВ возникают менее интенсивные электромагнитные поля, не оказывающие отрицательного влияния на биологические объекты.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Эффект воздействия электромагнитного поля на биологический объект принято оценивать количеством электромагнитной энергии, поглощаемой этим объектом при нахождении его в поле. При малых частотах (в данном случае 50 Гц) электромагнитное поле можно рассматривать состоящим из двух полей (электрического и магнитного), практически не связанных между собой. Электрическое поле возникает при наличии напряжения на токоведущих частях электроустановок, а магнитное — при прохождении тока по этим частям. Поэтому допустимо рассматривать отдельно друг от друга влияние, оказываемое ими на биологические объекты.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Установлено, что в любой точке поля в электроустановках сверхвысокого напряжения (50 Гц) .поглощенная телом человека энергия магнитного поля примерно в 50 раз меньше поглощенной им энергии электрического поля (в рабочих зонах открытых распределительных устройств и проводов ВЛ-750 кВ напряженность магнитного поля составляет 20—25 А/м при опасности вредного влияния 150—200 А/м). 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этого был сделан вывод, что отрицательное действие электромагнитных полей электроустановок сверхвысокого напряжения (50 Гц) обусловлено электрическим полем, то есть нормируется напряженность </w:t>
      </w:r>
      <w:r>
        <w:rPr>
          <w:i/>
          <w:iCs/>
          <w:sz w:val="24"/>
          <w:szCs w:val="24"/>
        </w:rPr>
        <w:t>Е,</w:t>
      </w:r>
      <w:r>
        <w:rPr>
          <w:sz w:val="24"/>
          <w:szCs w:val="24"/>
        </w:rPr>
        <w:t xml:space="preserve"> кВ/м.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В различных точках пространства вблизи электроустановок напряженность электрического поля имеет разные значения и зависит от ряда факторов: номинального напряжения, расстояния (по высоте и горизонтали) рассматриваемой точки от токоведущих частей и др.</w:t>
      </w:r>
    </w:p>
    <w:p w:rsidR="009B01BC" w:rsidRDefault="009B01BC">
      <w:pPr>
        <w:widowControl w:val="0"/>
        <w:ind w:left="300"/>
        <w:jc w:val="both"/>
        <w:rPr>
          <w:sz w:val="24"/>
          <w:szCs w:val="24"/>
          <w:lang w:val="en-US"/>
        </w:rPr>
      </w:pP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Воздействие электромагнитных полей на организм человека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Промышленная электротермия, в которой применяются токи радиочастот для электротермической обработки материалов и изделий (сварка, плавка, ковка, закалка, пайка металлов; сушка, спекание и склеивание неметаллов), широкое внедрение радиоэлектроники в народное хозяйство позволяют значительно улучшить условия труда, снизить трудоемкость работ, добиться высокой экономичности процессов производства. Однако электромагнитныеизлучения радиочастотных установок, воздействуя на организм человека в дозах, превышающих допустимые, могут явиться причиной профессиональных заболеваний. В результате возможны изменения нервной, сердечно-сосудистой, эндокринной Я других систем организма человека.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Действие электромагнитных полей на организм человека проявляется в функциональном расстройстве центральной нервной системы; субъективные ощущения при этом — повышенная утомляемость, головные боли и т. п. Первичным проявлением действия электромагнитной энергии является нагрев, который может привести к изменениям и даже к повреждениям тканей и органов. Механизм поглощения энергии достаточно сложен. Возможны также перегрев организма, изменение частоты пульса, сосудистых реакций. Поля сверхвысоких частот могут оказывать воздействие на глаза, приводящее к возникновению катаракты (помутнению хрусталика). Многократные повторные облучения малой интенсивности могут приводить к стойким функциональным расстройствам центральной нервной системы. Степень биологического воздействия электромагнитных полей на организм человека зависит от частоты колебаний, напряженности и интенсивности поля, длительности его воздействия. Биологическое воздействие полей разных диапазонов неодинаково. Изменения, возникающие в организме под воздействием электромагнитных полей, чаще всего обратимы.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длительного пребывания в зоне действия электромагнитных полей наступают преждевременная утомляемость, сонливость или нарушение сна, появляются частые головные боли, ""наступает расстройство нервной системы и др. При систематическом облучении наблюдаются стойкие нервно-психические заболевания, изменение кровяного давления, замедление пульса, трофические явления (выпадение волос, ломкость ногтей и т. п.).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Аналогичное воздействие на организм человека оказывает электромагнитное поле промышленной частоты в электроустановках сверхвысокого напряжения. Интенсивные электромагнитные поля вызывают у работающих нарушение функционального состояния центральной нервной системы, сердечно-сосудистой системы и периферической крови. При этом наблюдаются повышенная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утомляемость, вялость, снижение точности рабочих движений, изменение кровяного давления и пульса, возникновение болей в сердце (обычно сопровождается аритмией) , голов ные боли.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Предполагается, что нарушение регуляции физиологических функций организма обусловлено воздействием поля на различные отделы нервной системы. При этом повышение возбудимости центральной нервной системы происходит за счет рефлекторного действия поля, а тормозной эффект — за счет прямого воздействия поля на структуры головного и спинного мозга. Считается, что кора головного мозга, а также промежуточный мозр особенно чуствительны к воздействию поля.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Наряду с биологическим действием электрическое поле обусловливает возникновение разрядов между человеком и металлическим предметом, имеющим иной, чем человек, потенциал. Если человек стоит непосредственно на земле или на токопроводящем заземленном основании, то потенциал его тела практически равен нулю, а если он изолирован от земли, то тело оказывается под некоторым потенциалом, достигающим иногда нескольких киловольт.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Очевидно, что прикосновение человека, изолированного от земли, к заземленному металлическому предмету, равно как и прикосновение человека, имеющего контакт с землей, к металлическому предмету, изолированному от земли, сопровождается прохождением через человека в землю разрядного тока, который может вызывать болезненные ощущения, особенно в первый момент. Часто прикосновение сопровождается искровым разрядом. В случае прикосновения к изолированному от земли металлическому предмету большой протяженности (трубопровод, проволочная ограда на деревянных стойках и т. п. или большого размера металлическая крыша деревянного здания и пр.) сила тока, проходящего через человека, может достигать значений, опасных для жизни.</w:t>
      </w:r>
    </w:p>
    <w:p w:rsidR="009B01BC" w:rsidRDefault="009B01BC">
      <w:pPr>
        <w:widowControl w:val="0"/>
        <w:ind w:left="300"/>
        <w:jc w:val="both"/>
        <w:rPr>
          <w:sz w:val="24"/>
          <w:szCs w:val="24"/>
        </w:rPr>
      </w:pP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Нормирование электромагнитных полей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Исследованиями установлено, что биологическое действие одного и того же по частоте электромагнитного по-ля зависит от напряженности его составляющих (электрической и магнитной) или плотности потока мощности для диапазона более 300 МГц. Это является критерием для 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определения биологической активности электромагнитных излучений. Для этого электромагнитные излучения с частотой до 300 МГц разбиты на диапазоны, для которых установлены предельно допустимые уровни напряженности электрической, В/м, и магнитной, А/м, составляющих поля. Для населения еще учитывают их местонахождение в зоне застройки или жилых помещений.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ГОСТ 12.1.006—84, нормируемыми параметрами в диапазоне частот 60 кГц — 300 МГц являются напряженности </w:t>
      </w:r>
      <w:r>
        <w:rPr>
          <w:i/>
          <w:iCs/>
          <w:sz w:val="24"/>
          <w:szCs w:val="24"/>
        </w:rPr>
        <w:t>Е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Н</w:t>
      </w:r>
      <w:r>
        <w:rPr>
          <w:sz w:val="24"/>
          <w:szCs w:val="24"/>
        </w:rPr>
        <w:t xml:space="preserve"> электромагнитного поля. На рабочих местах и в местах возможного нахождения персонала, профессионально связанного с воздействием электромагнитного поля, предельно допустимая напряженность этого поля в течение всего рабочего дня не должна превышать нормативных значений.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Эффект воздействия электромагнитного поля на биологический объект принято оценивать количеством электромагнитной энергии, поглощаемой этим объектом при нахождении его в поле. Вт:</w:t>
      </w:r>
    </w:p>
    <w:p w:rsidR="009B01BC" w:rsidRDefault="00CA04E3">
      <w:pPr>
        <w:widowControl w:val="0"/>
        <w:ind w:left="300"/>
        <w:jc w:val="both"/>
        <w:rPr>
          <w:sz w:val="24"/>
          <w:szCs w:val="24"/>
          <w:lang w:val="en-US"/>
        </w:rPr>
      </w:pPr>
      <w:r>
        <w:rPr>
          <w:lang w:val="en-US"/>
        </w:rPr>
        <w:pict>
          <v:shape id="_x0000_i1026" type="#_x0000_t75" style="width:198pt;height:17.25pt">
            <v:imagedata r:id="rId5" o:title=""/>
          </v:shape>
        </w:pic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rFonts w:ascii="MT Symbol" w:hAnsi="MT Symbol" w:cs="MT Symbol"/>
          <w:sz w:val="24"/>
          <w:szCs w:val="24"/>
        </w:rPr>
        <w:t></w:t>
      </w:r>
      <w:r>
        <w:rPr>
          <w:sz w:val="24"/>
          <w:szCs w:val="24"/>
        </w:rPr>
        <w:t xml:space="preserve"> — плотность потока мощности излучения электромагнитной энергии" Вт/м</w:t>
      </w:r>
      <w:r>
        <w:rPr>
          <w:position w:val="12"/>
          <w:sz w:val="16"/>
          <w:szCs w:val="16"/>
        </w:rPr>
        <w:t>2</w:t>
      </w:r>
      <w:r>
        <w:rPr>
          <w:sz w:val="24"/>
          <w:szCs w:val="24"/>
        </w:rPr>
        <w:t>; 5эф — эффективная поглощающая поверхность тела человека, м</w:t>
      </w:r>
      <w:r>
        <w:rPr>
          <w:position w:val="12"/>
          <w:sz w:val="16"/>
          <w:szCs w:val="16"/>
        </w:rPr>
        <w:t>2</w:t>
      </w:r>
      <w:r>
        <w:rPr>
          <w:sz w:val="24"/>
          <w:szCs w:val="24"/>
        </w:rPr>
        <w:t>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В табл. 3 приведены предельно допустимые плотности потока энергии электромагнитных полей (ЭМП) в диа-назоне частот 300 МГц—300000 ГГц и время пребывания на рабочих местах и в местах возможного нахождения персонала, профессионально связанного с воздействиемЭМП.</w:t>
      </w:r>
    </w:p>
    <w:p w:rsidR="009B01BC" w:rsidRDefault="009B01BC">
      <w:pPr>
        <w:widowControl w:val="0"/>
        <w:ind w:left="300"/>
        <w:jc w:val="both"/>
        <w:rPr>
          <w:sz w:val="24"/>
          <w:szCs w:val="24"/>
          <w:lang w:val="en-US"/>
        </w:rPr>
      </w:pPr>
    </w:p>
    <w:p w:rsidR="009B01BC" w:rsidRDefault="00836612">
      <w:pPr>
        <w:widowControl w:val="0"/>
        <w:ind w:left="300"/>
        <w:jc w:val="both"/>
      </w:pPr>
      <w:r>
        <w:t>Таблица 3. Нормы облучения УВЧ и СВЧ</w:t>
      </w: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4263"/>
      </w:tblGrid>
      <w:tr w:rsidR="009B01BC">
        <w:trPr>
          <w:cantSplit/>
        </w:trPr>
        <w:tc>
          <w:tcPr>
            <w:tcW w:w="5245" w:type="dxa"/>
            <w:tcBorders>
              <w:top w:val="single" w:sz="12" w:space="0" w:color="auto"/>
            </w:tcBorders>
          </w:tcPr>
          <w:p w:rsidR="009B01BC" w:rsidRDefault="00836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потока мощности энергии а, Вт/м</w:t>
            </w:r>
          </w:p>
        </w:tc>
        <w:tc>
          <w:tcPr>
            <w:tcW w:w="4263" w:type="dxa"/>
            <w:tcBorders>
              <w:top w:val="single" w:sz="12" w:space="0" w:color="auto"/>
            </w:tcBorders>
          </w:tcPr>
          <w:p w:rsidR="009B01BC" w:rsidRDefault="00836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Допустимое время пребывания в зоне воздействия ЭМП</w:t>
            </w:r>
          </w:p>
        </w:tc>
      </w:tr>
      <w:tr w:rsidR="009B01BC">
        <w:trPr>
          <w:cantSplit/>
        </w:trPr>
        <w:tc>
          <w:tcPr>
            <w:tcW w:w="5245" w:type="dxa"/>
          </w:tcPr>
          <w:p w:rsidR="009B01BC" w:rsidRDefault="00836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0,1</w:t>
            </w:r>
          </w:p>
        </w:tc>
        <w:tc>
          <w:tcPr>
            <w:tcW w:w="4263" w:type="dxa"/>
          </w:tcPr>
          <w:p w:rsidR="009B01BC" w:rsidRDefault="00836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день</w:t>
            </w:r>
          </w:p>
        </w:tc>
      </w:tr>
      <w:tr w:rsidR="009B01BC">
        <w:trPr>
          <w:cantSplit/>
        </w:trPr>
        <w:tc>
          <w:tcPr>
            <w:tcW w:w="5245" w:type="dxa"/>
          </w:tcPr>
          <w:p w:rsidR="009B01BC" w:rsidRDefault="00836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0,1-1</w:t>
            </w:r>
          </w:p>
        </w:tc>
        <w:tc>
          <w:tcPr>
            <w:tcW w:w="4263" w:type="dxa"/>
          </w:tcPr>
          <w:p w:rsidR="009B01BC" w:rsidRDefault="00836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 ч</w:t>
            </w:r>
          </w:p>
        </w:tc>
      </w:tr>
      <w:tr w:rsidR="009B01BC">
        <w:trPr>
          <w:cantSplit/>
        </w:trPr>
        <w:tc>
          <w:tcPr>
            <w:tcW w:w="5245" w:type="dxa"/>
            <w:tcBorders>
              <w:bottom w:val="single" w:sz="12" w:space="0" w:color="auto"/>
            </w:tcBorders>
          </w:tcPr>
          <w:p w:rsidR="009B01BC" w:rsidRDefault="00836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1-10</w:t>
            </w:r>
          </w:p>
        </w:tc>
        <w:tc>
          <w:tcPr>
            <w:tcW w:w="4263" w:type="dxa"/>
            <w:tcBorders>
              <w:bottom w:val="single" w:sz="12" w:space="0" w:color="auto"/>
            </w:tcBorders>
          </w:tcPr>
          <w:p w:rsidR="009B01BC" w:rsidRDefault="00836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 мин</w:t>
            </w:r>
          </w:p>
        </w:tc>
      </w:tr>
    </w:tbl>
    <w:p w:rsidR="009B01BC" w:rsidRDefault="00836612">
      <w:pPr>
        <w:widowControl w:val="0"/>
        <w:ind w:left="30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Примечание</w:t>
      </w:r>
    </w:p>
    <w:p w:rsidR="009B01BC" w:rsidRDefault="00836612">
      <w:pPr>
        <w:widowControl w:val="0"/>
        <w:ind w:left="30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В остальное рабочее время плотность потока энергии не должна превышать 0,1 Вт/м</w:t>
      </w:r>
      <w:r>
        <w:rPr>
          <w:position w:val="12"/>
          <w:sz w:val="16"/>
          <w:szCs w:val="16"/>
        </w:rPr>
        <w:t xml:space="preserve">2 </w:t>
      </w:r>
      <w:r>
        <w:rPr>
          <w:sz w:val="24"/>
          <w:szCs w:val="24"/>
        </w:rPr>
        <w:t>При условии пользования защитными очками. В остальное рабочее время плотность потока энергий не должна превышать 0,1 Вт/м</w:t>
      </w:r>
      <w:r>
        <w:rPr>
          <w:position w:val="12"/>
          <w:sz w:val="16"/>
          <w:szCs w:val="16"/>
        </w:rPr>
        <w:t>2</w:t>
      </w:r>
    </w:p>
    <w:p w:rsidR="009B01BC" w:rsidRDefault="009B01BC">
      <w:pPr>
        <w:widowControl w:val="0"/>
        <w:ind w:left="300"/>
        <w:jc w:val="both"/>
        <w:rPr>
          <w:sz w:val="24"/>
          <w:szCs w:val="24"/>
          <w:lang w:val="en-US"/>
        </w:rPr>
      </w:pP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В табл. 4 приведено допустимое время пребывания человека в электрическом поле промышленной частоты сверхвысокого напряжения (400 кВ и выше).</w:t>
      </w:r>
    </w:p>
    <w:p w:rsidR="009B01BC" w:rsidRDefault="009B01BC">
      <w:pPr>
        <w:widowControl w:val="0"/>
        <w:ind w:left="300"/>
        <w:jc w:val="both"/>
        <w:rPr>
          <w:sz w:val="24"/>
          <w:szCs w:val="24"/>
          <w:lang w:val="en-US"/>
        </w:rPr>
      </w:pPr>
    </w:p>
    <w:p w:rsidR="009B01BC" w:rsidRDefault="00836612">
      <w:pPr>
        <w:widowControl w:val="0"/>
        <w:ind w:left="300"/>
        <w:jc w:val="both"/>
        <w:rPr>
          <w:lang w:val="en-US"/>
        </w:rPr>
      </w:pPr>
      <w:r>
        <w:t>Таблица 4. Предельно допустимое время</w:t>
      </w:r>
      <w:r>
        <w:rPr>
          <w:lang w:val="en-US"/>
        </w:rPr>
        <w:t xml:space="preserve"> c </w:t>
      </w:r>
      <w:r>
        <w:t>напряжением 400 кВ и выше</w:t>
      </w:r>
    </w:p>
    <w:tbl>
      <w:tblPr>
        <w:tblW w:w="0" w:type="auto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0"/>
        <w:gridCol w:w="5618"/>
      </w:tblGrid>
      <w:tr w:rsidR="009B01BC">
        <w:tc>
          <w:tcPr>
            <w:tcW w:w="3890" w:type="dxa"/>
          </w:tcPr>
          <w:p w:rsidR="009B01BC" w:rsidRDefault="00836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Электрическая напряженность Е, кВ/м</w:t>
            </w:r>
          </w:p>
        </w:tc>
        <w:tc>
          <w:tcPr>
            <w:tcW w:w="5618" w:type="dxa"/>
          </w:tcPr>
          <w:p w:rsidR="009B01BC" w:rsidRDefault="00836612">
            <w:pPr>
              <w:ind w:firstLine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Допустимое время пребывания, мин</w:t>
            </w:r>
          </w:p>
        </w:tc>
      </w:tr>
      <w:tr w:rsidR="009B01BC">
        <w:tc>
          <w:tcPr>
            <w:tcW w:w="3890" w:type="dxa"/>
          </w:tcPr>
          <w:p w:rsidR="009B01BC" w:rsidRDefault="00836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&lt;5</w:t>
            </w:r>
          </w:p>
        </w:tc>
        <w:tc>
          <w:tcPr>
            <w:tcW w:w="5618" w:type="dxa"/>
          </w:tcPr>
          <w:p w:rsidR="009B01BC" w:rsidRDefault="00836612">
            <w:pPr>
              <w:ind w:firstLine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Вез ограничений (рабочий день) &lt;180 &lt;90 &lt;10 &lt;5</w:t>
            </w:r>
          </w:p>
        </w:tc>
      </w:tr>
      <w:tr w:rsidR="009B01BC">
        <w:tc>
          <w:tcPr>
            <w:tcW w:w="3890" w:type="dxa"/>
          </w:tcPr>
          <w:p w:rsidR="009B01BC" w:rsidRDefault="00836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5—10 10—15</w:t>
            </w:r>
          </w:p>
        </w:tc>
        <w:tc>
          <w:tcPr>
            <w:tcW w:w="5618" w:type="dxa"/>
          </w:tcPr>
          <w:p w:rsidR="009B01BC" w:rsidRDefault="00836612">
            <w:pPr>
              <w:ind w:firstLine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Вез ограничений (рабочий день) &lt;180 &lt;90 &lt;10 &lt;5</w:t>
            </w:r>
          </w:p>
        </w:tc>
      </w:tr>
      <w:tr w:rsidR="009B01BC">
        <w:tc>
          <w:tcPr>
            <w:tcW w:w="3890" w:type="dxa"/>
          </w:tcPr>
          <w:p w:rsidR="009B01BC" w:rsidRDefault="00836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15—20 20—25</w:t>
            </w:r>
          </w:p>
        </w:tc>
        <w:tc>
          <w:tcPr>
            <w:tcW w:w="5618" w:type="dxa"/>
          </w:tcPr>
          <w:p w:rsidR="009B01BC" w:rsidRDefault="00836612">
            <w:pPr>
              <w:ind w:firstLine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Вез ограничений (рабочий день) &lt;180 &lt;90 &lt;10 &lt;5</w:t>
            </w:r>
          </w:p>
        </w:tc>
      </w:tr>
    </w:tbl>
    <w:p w:rsidR="009B01BC" w:rsidRDefault="009B01BC">
      <w:pPr>
        <w:widowControl w:val="0"/>
        <w:ind w:left="300"/>
        <w:jc w:val="both"/>
        <w:rPr>
          <w:sz w:val="24"/>
          <w:szCs w:val="24"/>
          <w:lang w:val="en-US"/>
        </w:rPr>
      </w:pPr>
    </w:p>
    <w:p w:rsidR="009B01BC" w:rsidRDefault="00836612">
      <w:pPr>
        <w:widowControl w:val="0"/>
        <w:ind w:left="30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Примечание</w:t>
      </w:r>
    </w:p>
    <w:p w:rsidR="009B01BC" w:rsidRDefault="00836612">
      <w:pPr>
        <w:widowControl w:val="0"/>
        <w:ind w:left="30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Остальное время рабочего дня человек находится в местах, где напряженность электрического поля меньше или равна 5 кВ/м</w:t>
      </w:r>
    </w:p>
    <w:p w:rsidR="009B01BC" w:rsidRDefault="009B01BC">
      <w:pPr>
        <w:widowControl w:val="0"/>
        <w:ind w:left="300"/>
        <w:jc w:val="both"/>
        <w:rPr>
          <w:sz w:val="24"/>
          <w:szCs w:val="24"/>
        </w:rPr>
      </w:pP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Ограничение времени пребывания человека в электромагнитном поле представляет собой так называемую "защиту временем".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Если напряженность поля на рабочем месте превышает 25 кВ/м или если требуется большая продолжительность пребывания человека в поле, чем указано в табл. 4, работы должны производиться'^ применением защитных средств — экранирующих устройств или экранирующих костюмов.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Пространство, в котором напряженность электрического поля равна 5 кВ/м и больше, принято называть </w:t>
      </w:r>
      <w:r>
        <w:rPr>
          <w:i/>
          <w:iCs/>
          <w:sz w:val="24"/>
          <w:szCs w:val="24"/>
        </w:rPr>
        <w:t>опасной зоной</w:t>
      </w:r>
      <w:r>
        <w:rPr>
          <w:sz w:val="24"/>
          <w:szCs w:val="24"/>
        </w:rPr>
        <w:t xml:space="preserve"> или зоной </w:t>
      </w:r>
      <w:r>
        <w:rPr>
          <w:i/>
          <w:iCs/>
          <w:sz w:val="24"/>
          <w:szCs w:val="24"/>
        </w:rPr>
        <w:t>влияния.</w:t>
      </w:r>
      <w:r>
        <w:rPr>
          <w:sz w:val="24"/>
          <w:szCs w:val="24"/>
        </w:rPr>
        <w:t xml:space="preserve"> Приближенно можно считать, что эта зона лежит в пределах круга с центром в точке расположения ближайшей токоведущей части, находящейся под напряжением, и радиусом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R</w:t>
      </w:r>
      <w:r>
        <w:rPr>
          <w:sz w:val="24"/>
          <w:szCs w:val="24"/>
        </w:rPr>
        <w:t xml:space="preserve"> == 20 м для электроустановок 400—500 кВ и </w:t>
      </w:r>
      <w:r>
        <w:rPr>
          <w:i/>
          <w:iCs/>
          <w:sz w:val="24"/>
          <w:szCs w:val="24"/>
        </w:rPr>
        <w:t>R =</w:t>
      </w:r>
      <w:r>
        <w:rPr>
          <w:sz w:val="24"/>
          <w:szCs w:val="24"/>
        </w:rPr>
        <w:t xml:space="preserve"> 30 м для электроустановок 750 кВ (рио. 18). На пересечениях линий электропередачи сверхвысокого (400—750 кВ) и ультравысокого (1150 кВ) напряжения с железными и автомобильными дорогами устанавливаются специальные знаки безопасности, ограничивающие зоны влияния этих воздушных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линий.</w:t>
      </w:r>
    </w:p>
    <w:p w:rsidR="009B01BC" w:rsidRDefault="009B01BC">
      <w:pPr>
        <w:widowControl w:val="0"/>
        <w:ind w:left="300"/>
        <w:jc w:val="both"/>
        <w:rPr>
          <w:sz w:val="24"/>
          <w:szCs w:val="24"/>
        </w:rPr>
      </w:pPr>
    </w:p>
    <w:p w:rsidR="009B01BC" w:rsidRDefault="00CA04E3">
      <w:pPr>
        <w:widowControl w:val="0"/>
        <w:ind w:left="300"/>
        <w:jc w:val="both"/>
        <w:rPr>
          <w:b/>
          <w:bCs/>
          <w:sz w:val="24"/>
          <w:szCs w:val="24"/>
        </w:rPr>
      </w:pPr>
      <w:r>
        <w:rPr>
          <w:b/>
          <w:bCs/>
        </w:rPr>
        <w:pict>
          <v:shape id="_x0000_i1027" type="#_x0000_t75" style="width:418.5pt;height:154.5pt">
            <v:imagedata r:id="rId6" o:title=""/>
          </v:shape>
        </w:pict>
      </w:r>
    </w:p>
    <w:p w:rsidR="009B01BC" w:rsidRDefault="00836612">
      <w:pPr>
        <w:widowControl w:val="0"/>
        <w:ind w:left="300"/>
        <w:jc w:val="both"/>
        <w:rPr>
          <w:b/>
          <w:bCs/>
        </w:rPr>
      </w:pPr>
      <w:r>
        <w:rPr>
          <w:b/>
          <w:bCs/>
        </w:rPr>
        <w:t>Рис. 18. Радиусы опасных зон (зон влияния):</w:t>
      </w:r>
    </w:p>
    <w:p w:rsidR="009B01BC" w:rsidRDefault="00836612">
      <w:pPr>
        <w:widowControl w:val="0"/>
        <w:ind w:left="300"/>
        <w:jc w:val="both"/>
      </w:pPr>
      <w:r>
        <w:t>а—источник влияния—открытое распределительное устройство или провода воздушной линии электропередачи; б — источник влияния — токоведущие части аппаратов</w:t>
      </w:r>
    </w:p>
    <w:p w:rsidR="009B01BC" w:rsidRDefault="009B01BC">
      <w:pPr>
        <w:widowControl w:val="0"/>
        <w:ind w:left="300"/>
        <w:jc w:val="both"/>
        <w:rPr>
          <w:sz w:val="24"/>
          <w:szCs w:val="24"/>
          <w:lang w:val="en-US"/>
        </w:rPr>
      </w:pP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Допустимое значение тока, длительно проходящего через человека и обусловленного воздействием электрического поля электроустановок сверхвысокого напряжения, составляет примерно 50—60 мкА, что соответствует напряженности электрического поля на высоте роста человека примерно 5 кВ/м. Если при электрических разрядах, возникающих в момент прикосновения человека к металлической конструкции, имеющей иной, чем человек, потенциал, установившийся ток не превышает 50— 60 мкА, то человек, как правило, не испытывает болевых ощущений. Поэтому это значение тока принято в качестве нормативного (допустимого).</w:t>
      </w:r>
    </w:p>
    <w:p w:rsidR="009B01BC" w:rsidRDefault="009B01BC">
      <w:pPr>
        <w:widowControl w:val="0"/>
        <w:ind w:left="300"/>
        <w:jc w:val="both"/>
        <w:rPr>
          <w:sz w:val="24"/>
          <w:szCs w:val="24"/>
        </w:rPr>
      </w:pP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Измерение интенсивности электромагнитных полей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Для определения интенсивности электромагнитных полей, воздействующих на обслуживающий персонал, замеры проводят в зоне нахождения персонала по высоте от уровня пола (земли) до 2 м через 0,5 м. Для определения характера распространения и интенсивности полей в цехе, на участке, в кабине, помещении (лаборатории и др.) должны быть проведены измерения в точках пересечения координатной сетки со стороной в 1 м. Измерения проводят (при максимальной мощности установки) периодически, не реже одного раза в год, а также при приеме в эксплуатацию новых установок, изменениях в конструкции и схеме установки, проведении ремонтов и т. д.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Исследования электромагнитных полей на рабочих ме-? стах должны проводиться в соответствии с требованиями ГОСТ 12.1.002—84, ГОСТ 12.1.006—84 по методике, утвержденной Минздравом СССР.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Для измерения интенсивности электромагнитных полей радиочастот используется прибор ИЭМП-1. Этим прибором можно измерить напряженности электрического и магнитного полей вблизи излучающих установок в диапазоне частот 100 кГц—300 МГц для электрического поля и в диапазоне частот 100 кГц — 1,5 МГц — для магнитного поля. С помощью данного прибора можно установить зону, в пределах которой напряженность поля выше допустимой.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Плотность потока мощности в диапазоне УВЧ—СВЧ измеряют прибором ПО-1, с помощью которого можно определить среднее по времени значение </w:t>
      </w:r>
      <w:r>
        <w:rPr>
          <w:i/>
          <w:iCs/>
          <w:sz w:val="24"/>
          <w:szCs w:val="24"/>
        </w:rPr>
        <w:t>о,</w:t>
      </w:r>
      <w:r>
        <w:rPr>
          <w:sz w:val="24"/>
          <w:szCs w:val="24"/>
        </w:rPr>
        <w:t xml:space="preserve"> Вт/м</w:t>
      </w:r>
      <w:r>
        <w:rPr>
          <w:position w:val="12"/>
          <w:sz w:val="16"/>
          <w:szCs w:val="16"/>
        </w:rPr>
        <w:t>2</w:t>
      </w:r>
      <w:r>
        <w:rPr>
          <w:sz w:val="24"/>
          <w:szCs w:val="24"/>
        </w:rPr>
        <w:t>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Измерения напряженности электрического поля в электроустановках сверхвысокого напряжения производят приборами типа ПЗ-1, ПЗ-1 м и др.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Измеритель напряженности электрического поля-работает следующим образом. В антенне прибора электрическое поле создает э. д. с&gt;, которая усиливается с помощью транзисторного усилителя, выпрямляется полупроводниковыми диодами и измеряется стрелочным микро-амперметром.'Антенна представляет собой симметричный диполь, выполненный в виде двух металлических пластин, размещенных одна над другой. Поскольку наведенная в симметричном диполе э. д. с. пропорциональна напряженности электрического поля, шкала м аллиамперметра отградуирована в киловольтах на метр (кВ/м).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Измерение напряженности должно производиться во всей зоне, где может находиться человек в процессе выполнения работы. Наибольшее измеренное значение напряженности является определяющим. При размещении рабочего места на земле наибольшая напряженность обычно бывает на высоте роста человека. Поэтому замеры рекомендуется производить на высоте 1,8 м от уровня земли.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Напряженность электрического поля, кВ/м, для любой точки можно определить из выражения</w:t>
      </w:r>
    </w:p>
    <w:p w:rsidR="009B01BC" w:rsidRDefault="00CA04E3">
      <w:pPr>
        <w:widowControl w:val="0"/>
        <w:ind w:left="300"/>
        <w:jc w:val="both"/>
        <w:rPr>
          <w:sz w:val="24"/>
          <w:szCs w:val="24"/>
        </w:rPr>
      </w:pPr>
      <w:r>
        <w:pict>
          <v:shape id="_x0000_i1028" type="#_x0000_t75" style="width:198.75pt;height:30.75pt">
            <v:imagedata r:id="rId7" o:title=""/>
          </v:shape>
        </w:pic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rFonts w:ascii="MT Symbol" w:hAnsi="MT Symbol" w:cs="MT Symbol"/>
          <w:sz w:val="24"/>
          <w:szCs w:val="24"/>
        </w:rPr>
        <w:t></w:t>
      </w:r>
      <w:r>
        <w:rPr>
          <w:sz w:val="24"/>
          <w:szCs w:val="24"/>
        </w:rPr>
        <w:t xml:space="preserve"> — линейная плотность заряда провода, Кл/м; </w:t>
      </w:r>
      <w:r>
        <w:rPr>
          <w:rFonts w:ascii="MT Symbol" w:hAnsi="MT Symbol" w:cs="MT Symbol"/>
          <w:sz w:val="24"/>
          <w:szCs w:val="24"/>
        </w:rPr>
        <w:t></w:t>
      </w:r>
      <w:r>
        <w:rPr>
          <w:position w:val="-4"/>
          <w:sz w:val="16"/>
          <w:szCs w:val="16"/>
        </w:rPr>
        <w:t>0</w:t>
      </w:r>
      <w:r>
        <w:rPr>
          <w:sz w:val="24"/>
          <w:szCs w:val="24"/>
        </w:rPr>
        <w:t xml:space="preserve"> = 8,85 • 10</w:t>
      </w:r>
      <w:r>
        <w:rPr>
          <w:position w:val="12"/>
          <w:sz w:val="16"/>
          <w:szCs w:val="16"/>
        </w:rPr>
        <w:t>12</w:t>
      </w:r>
      <w:r>
        <w:rPr>
          <w:sz w:val="24"/>
          <w:szCs w:val="24"/>
        </w:rPr>
        <w:t xml:space="preserve"> — электрическая постоянная, Ф/м; </w:t>
      </w:r>
      <w:r>
        <w:rPr>
          <w:i/>
          <w:iCs/>
          <w:sz w:val="24"/>
          <w:szCs w:val="24"/>
        </w:rPr>
        <w:t xml:space="preserve">т — </w:t>
      </w:r>
      <w:r>
        <w:rPr>
          <w:sz w:val="24"/>
          <w:szCs w:val="24"/>
        </w:rPr>
        <w:t>кратчайшее расстояние от провода до точки, в которой определяется напряженность, м.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Это выражение предусматривает определение напряженности электрического поля уединенного бесконечно длинного прямолинейного проводника, заряженного равномерно по длине. Вводя соответствующие поправки, можно с достаточной точностью определить уровни напряженности электрического поля в заданных точках линии и подстанции сверхвысокого напряжения в реальных условиях.</w:t>
      </w:r>
    </w:p>
    <w:p w:rsidR="009B01BC" w:rsidRDefault="009B01BC">
      <w:pPr>
        <w:widowControl w:val="0"/>
        <w:ind w:left="300"/>
        <w:jc w:val="both"/>
        <w:rPr>
          <w:sz w:val="24"/>
          <w:szCs w:val="24"/>
        </w:rPr>
      </w:pP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Методы защиты от электромагнитных полей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Основные меры защиты от воздействия электромагнитных излучений: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уменьшение излучения непосредственно у источника (достигается увеличением расстояния между источником направленного действия и рабочим местом, уменьшением мощности излучения генератора); рациональное размещение СВЧ и УВЧ установок (действующие установки мощностью более 10 Вт следует размещать в помещениях с капитальными стенами и перекрытиями, покрытыми радиопоглощающими материалами — кирпичом, шлакобетоном, а также материалами, обладающими отражающей способностью —-масляными красками и др.); дистанционный контроль и управление передатчиками в экранированном помещении (для визуального наблюдения за передатчиками оборудуются смотровые окна, защищенные металлической сеткой); экранирование источников излучения и рабочих мест (применение отражающих заземленных экранов в виде листа или сетки из металла, обладающего высокой электропроводностью — алюминия, меди, латуни, стали); организационные меры (проведение дозиметрического контроля интенсивности электромагнитных излучений — не реже одного раза в 6 месяцев; медосмотр — не реже одного раза в год; дополнительный отпуск, сокращенный рабочий день, допуск лиц не моложе 18 лет и не имеющих заболеваний центральной нервной системы, сердца, глаз);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применение средств индивидуальной защиты (спецодежда, защитные очки и др.).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У индукционных плавильных печей и нагревательных индукторов (высокие частоты) допускается напряженность поля до 20 В/м. Предел для магнитной составляющей напряженности поля должен быть 5 А/м. Напряженность ультравысокочастотных электромагнитных полей (средние и длинные волны) на рабочих местах не должна превышать 5 В/м.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Каждая промышленная установка снабжается техническим паспортом, в котором указаны электрическая схема, защитные приспособления, место применения, диапазон волн, допустимая мощность и т. д. По каждой установке ведут эксплуатационный журнал, в котором фиксируют состояние установки, режим работы, исправления, замену деталей, изменения напряженности поля. Пребывание персонала в зоне воздействия электромагнитных полей ограничивается минимально необходимым для проведения операций временем.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Новые установки вводят в эксплуатацию после приемки их, при которой устанавливают выполнение требований и норм охраны труда, норм по ограничению полей и радиопомех, а также регистрации их в государственных контролирующих органах..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Генераторы токов высокой частоты устанавливают в отдельных огнестойких помещениях, машинные генераторы — в звуконепроницаемых кабинах. Для установок мощностью до 30 кВт отводят площадь не менее 40 м</w:t>
      </w:r>
      <w:r>
        <w:rPr>
          <w:position w:val="12"/>
          <w:sz w:val="16"/>
          <w:szCs w:val="16"/>
        </w:rPr>
        <w:t>2</w:t>
      </w:r>
      <w:r>
        <w:rPr>
          <w:sz w:val="24"/>
          <w:szCs w:val="24"/>
        </w:rPr>
        <w:t>, большей мощности — не менее 70 м</w:t>
      </w:r>
      <w:r>
        <w:rPr>
          <w:position w:val="12"/>
          <w:sz w:val="16"/>
          <w:szCs w:val="16"/>
        </w:rPr>
        <w:t>2</w:t>
      </w:r>
      <w:r>
        <w:rPr>
          <w:sz w:val="24"/>
          <w:szCs w:val="24"/>
        </w:rPr>
        <w:t>. Расстояние между установками должно быть не менее 2 м, помещения экранируют, в общих помещениях установки размещают в экранированных боксах. Обязательна общая вентиляция помещений, а при наличии вредных выделений — и местная. Помещения высокочастотных установок запрещается загромождать металлическими предметами. Наиболее простым и эффективным методом защиты от электромагнитных полей является "защита расстоянием". Зная характеристики металла, можно рассчитать толщину экрана</w:t>
      </w:r>
      <w:r>
        <w:rPr>
          <w:sz w:val="24"/>
          <w:szCs w:val="24"/>
          <w:lang w:val="en-US"/>
        </w:rPr>
        <w:t xml:space="preserve"> S,</w:t>
      </w:r>
      <w:r>
        <w:rPr>
          <w:sz w:val="24"/>
          <w:szCs w:val="24"/>
        </w:rPr>
        <w:t xml:space="preserve"> мм, обеспечивающую заданное ослабление электромагнитных полей на данном расстоянии:</w:t>
      </w:r>
    </w:p>
    <w:p w:rsidR="009B01BC" w:rsidRDefault="00CA04E3">
      <w:pPr>
        <w:widowControl w:val="0"/>
        <w:ind w:left="300"/>
        <w:jc w:val="both"/>
        <w:rPr>
          <w:sz w:val="24"/>
          <w:szCs w:val="24"/>
        </w:rPr>
      </w:pPr>
      <w:r>
        <w:pict>
          <v:shape id="_x0000_i1029" type="#_x0000_t75" style="width:168.75pt;height:33.75pt">
            <v:imagedata r:id="rId8" o:title=""/>
          </v:shape>
        </w:pic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rFonts w:ascii="MT Symbol" w:hAnsi="MT Symbol" w:cs="MT Symbol"/>
          <w:sz w:val="24"/>
          <w:szCs w:val="24"/>
        </w:rPr>
        <w:t></w:t>
      </w:r>
      <w:r>
        <w:rPr>
          <w:sz w:val="24"/>
          <w:szCs w:val="24"/>
        </w:rPr>
        <w:t xml:space="preserve"> =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2nf —</w:t>
      </w:r>
      <w:r>
        <w:rPr>
          <w:sz w:val="24"/>
          <w:szCs w:val="24"/>
        </w:rPr>
        <w:t xml:space="preserve"> угловая частота переменного тока, рад/с;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rFonts w:ascii="MT Symbol" w:hAnsi="MT Symbol" w:cs="MT Symbol"/>
          <w:sz w:val="24"/>
          <w:szCs w:val="24"/>
        </w:rPr>
        <w:t></w:t>
      </w:r>
      <w:r>
        <w:rPr>
          <w:sz w:val="24"/>
          <w:szCs w:val="24"/>
        </w:rPr>
        <w:t xml:space="preserve"> — магнитная проницаемость металла защитного экрана, Г/м; </w:t>
      </w:r>
      <w:r>
        <w:rPr>
          <w:rFonts w:ascii="MT Symbol" w:hAnsi="MT Symbol" w:cs="MT Symbol"/>
          <w:sz w:val="24"/>
          <w:szCs w:val="24"/>
        </w:rPr>
        <w:t></w:t>
      </w:r>
      <w:r>
        <w:rPr>
          <w:sz w:val="24"/>
          <w:szCs w:val="24"/>
        </w:rPr>
        <w:t xml:space="preserve"> — электрическая проводимость металла экрана (Ом • м)'</w:t>
      </w:r>
      <w:r>
        <w:rPr>
          <w:position w:val="12"/>
          <w:sz w:val="16"/>
          <w:szCs w:val="16"/>
        </w:rPr>
        <w:t>1</w:t>
      </w:r>
      <w:r>
        <w:rPr>
          <w:sz w:val="24"/>
          <w:szCs w:val="24"/>
        </w:rPr>
        <w:t>; Э</w:t>
      </w:r>
      <w:r>
        <w:rPr>
          <w:position w:val="-4"/>
          <w:sz w:val="16"/>
          <w:szCs w:val="16"/>
        </w:rPr>
        <w:t>х</w:t>
      </w:r>
      <w:r>
        <w:rPr>
          <w:i/>
          <w:iCs/>
          <w:sz w:val="24"/>
          <w:szCs w:val="24"/>
        </w:rPr>
        <w:t>—</w:t>
      </w:r>
      <w:r>
        <w:rPr>
          <w:sz w:val="24"/>
          <w:szCs w:val="24"/>
        </w:rPr>
        <w:t>эффективность экранирования на рабочем месте, определяемая из выражения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>
        <w:rPr>
          <w:position w:val="-4"/>
          <w:sz w:val="16"/>
          <w:szCs w:val="16"/>
        </w:rPr>
        <w:t>х</w:t>
      </w:r>
      <w:r>
        <w:rPr>
          <w:b/>
          <w:bCs/>
          <w:sz w:val="24"/>
          <w:szCs w:val="24"/>
        </w:rPr>
        <w:t xml:space="preserve"> = </w:t>
      </w:r>
      <w:r>
        <w:rPr>
          <w:sz w:val="24"/>
          <w:szCs w:val="24"/>
        </w:rPr>
        <w:t>Н</w:t>
      </w:r>
      <w:r>
        <w:rPr>
          <w:position w:val="-4"/>
          <w:sz w:val="16"/>
          <w:szCs w:val="16"/>
        </w:rPr>
        <w:t>х</w:t>
      </w:r>
      <w:r>
        <w:rPr>
          <w:b/>
          <w:bCs/>
          <w:sz w:val="24"/>
          <w:szCs w:val="24"/>
        </w:rPr>
        <w:t>,/</w:t>
      </w:r>
      <w:r>
        <w:rPr>
          <w:sz w:val="24"/>
          <w:szCs w:val="24"/>
        </w:rPr>
        <w:t xml:space="preserve"> Н</w:t>
      </w:r>
      <w:r>
        <w:rPr>
          <w:position w:val="-4"/>
          <w:sz w:val="16"/>
          <w:szCs w:val="16"/>
        </w:rPr>
        <w:t>хэ</w:t>
      </w:r>
      <w:r>
        <w:rPr>
          <w:b/>
          <w:bCs/>
          <w:sz w:val="24"/>
          <w:szCs w:val="24"/>
        </w:rPr>
        <w:t xml:space="preserve"> (49)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i/>
          <w:iCs/>
          <w:sz w:val="24"/>
          <w:szCs w:val="24"/>
        </w:rPr>
        <w:t>Нх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Нхэ —</w:t>
      </w:r>
      <w:r>
        <w:rPr>
          <w:sz w:val="24"/>
          <w:szCs w:val="24"/>
        </w:rPr>
        <w:t xml:space="preserve"> максимальные значения напряженности магнитной составляющей поля на расстоянии </w:t>
      </w:r>
      <w:r>
        <w:rPr>
          <w:i/>
          <w:iCs/>
          <w:sz w:val="24"/>
          <w:szCs w:val="24"/>
        </w:rPr>
        <w:t>х,</w:t>
      </w:r>
      <w:r>
        <w:rPr>
          <w:sz w:val="24"/>
          <w:szCs w:val="24"/>
        </w:rPr>
        <w:t xml:space="preserve"> м от источника соответственно без экрана и с экраном, А/м. 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Напряженность </w:t>
      </w:r>
      <w:r>
        <w:rPr>
          <w:i/>
          <w:iCs/>
          <w:sz w:val="24"/>
          <w:szCs w:val="24"/>
        </w:rPr>
        <w:t>Нц</w:t>
      </w:r>
      <w:r>
        <w:rPr>
          <w:sz w:val="24"/>
          <w:szCs w:val="24"/>
        </w:rPr>
        <w:t xml:space="preserve"> может быть определена из выражения</w:t>
      </w:r>
    </w:p>
    <w:p w:rsidR="009B01BC" w:rsidRDefault="00836612">
      <w:pPr>
        <w:widowControl w:val="0"/>
        <w:ind w:left="300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</w:t>
      </w:r>
      <w:r>
        <w:rPr>
          <w:position w:val="-4"/>
          <w:sz w:val="16"/>
          <w:szCs w:val="16"/>
        </w:rPr>
        <w:t>х</w:t>
      </w:r>
      <w:r>
        <w:rPr>
          <w:sz w:val="24"/>
          <w:szCs w:val="24"/>
        </w:rPr>
        <w:t xml:space="preserve"> = </w:t>
      </w:r>
      <w:r>
        <w:rPr>
          <w:rFonts w:ascii="MT Symbol" w:hAnsi="MT Symbol" w:cs="MT Symbol"/>
          <w:sz w:val="24"/>
          <w:szCs w:val="24"/>
        </w:rPr>
        <w:t></w:t>
      </w:r>
      <w:r>
        <w:rPr>
          <w:rFonts w:ascii="MT Symbol" w:hAnsi="MT Symbol" w:cs="MT Symbol"/>
          <w:sz w:val="24"/>
          <w:szCs w:val="24"/>
          <w:lang w:val="en-US"/>
        </w:rPr>
        <w:t></w:t>
      </w:r>
      <w:r>
        <w:rPr>
          <w:sz w:val="24"/>
          <w:szCs w:val="24"/>
          <w:lang w:val="en-US"/>
        </w:rPr>
        <w:t>a</w:t>
      </w:r>
      <w:r>
        <w:rPr>
          <w:position w:val="12"/>
          <w:sz w:val="16"/>
          <w:szCs w:val="16"/>
          <w:lang w:val="en-US"/>
        </w:rPr>
        <w:t xml:space="preserve">2 </w:t>
      </w:r>
      <w:r>
        <w:rPr>
          <w:rFonts w:ascii="MT Symbol" w:hAnsi="MT Symbol" w:cs="MT Symbol"/>
          <w:sz w:val="24"/>
          <w:szCs w:val="24"/>
          <w:lang w:val="en-US"/>
        </w:rPr>
        <w:t></w:t>
      </w:r>
      <w:r>
        <w:rPr>
          <w:position w:val="-4"/>
          <w:sz w:val="16"/>
          <w:szCs w:val="16"/>
          <w:lang w:val="en-US"/>
        </w:rPr>
        <w:t>m</w:t>
      </w:r>
      <w:r>
        <w:rPr>
          <w:sz w:val="24"/>
          <w:szCs w:val="24"/>
          <w:lang w:val="en-US"/>
        </w:rPr>
        <w:t xml:space="preserve"> / 4x</w:t>
      </w:r>
      <w:r>
        <w:rPr>
          <w:position w:val="12"/>
          <w:sz w:val="16"/>
          <w:szCs w:val="16"/>
          <w:lang w:val="en-US"/>
        </w:rPr>
        <w:t>2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(</w:t>
      </w:r>
      <w:r>
        <w:rPr>
          <w:b/>
          <w:bCs/>
          <w:sz w:val="24"/>
          <w:szCs w:val="24"/>
        </w:rPr>
        <w:t>50)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sz w:val="24"/>
          <w:szCs w:val="24"/>
          <w:lang w:val="en-US"/>
        </w:rPr>
        <w:t xml:space="preserve"> </w:t>
      </w:r>
      <w:r>
        <w:rPr>
          <w:rFonts w:ascii="MT Symbol" w:hAnsi="MT Symbol" w:cs="MT Symbol"/>
          <w:sz w:val="24"/>
          <w:szCs w:val="24"/>
          <w:lang w:val="en-US"/>
        </w:rPr>
        <w:t>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а —</w:t>
      </w:r>
      <w:r>
        <w:rPr>
          <w:sz w:val="24"/>
          <w:szCs w:val="24"/>
        </w:rPr>
        <w:t xml:space="preserve"> число витков и радиус катушки, м; </w:t>
      </w:r>
      <w:r>
        <w:rPr>
          <w:rFonts w:ascii="MT Symbol" w:hAnsi="MT Symbol" w:cs="MT Symbol"/>
          <w:sz w:val="24"/>
          <w:szCs w:val="24"/>
        </w:rPr>
        <w:t></w:t>
      </w:r>
      <w:r>
        <w:rPr>
          <w:sz w:val="24"/>
          <w:szCs w:val="24"/>
        </w:rPr>
        <w:t xml:space="preserve"> — сила тока в катушке, А; </w:t>
      </w:r>
      <w:r>
        <w:rPr>
          <w:i/>
          <w:iCs/>
          <w:sz w:val="24"/>
          <w:szCs w:val="24"/>
        </w:rPr>
        <w:t>х —</w:t>
      </w:r>
      <w:r>
        <w:rPr>
          <w:sz w:val="24"/>
          <w:szCs w:val="24"/>
        </w:rPr>
        <w:t xml:space="preserve"> расстояние от источника (катушки) до рабочего места, м; </w:t>
      </w:r>
      <w:r>
        <w:rPr>
          <w:rFonts w:ascii="MT Symbol" w:hAnsi="MT Symbol" w:cs="MT Symbol"/>
          <w:sz w:val="24"/>
          <w:szCs w:val="24"/>
          <w:lang w:val="en-US"/>
        </w:rPr>
        <w:t></w:t>
      </w:r>
      <w:r>
        <w:rPr>
          <w:position w:val="-4"/>
          <w:sz w:val="16"/>
          <w:szCs w:val="16"/>
          <w:lang w:val="en-US"/>
        </w:rPr>
        <w:t>m</w:t>
      </w:r>
      <w:r>
        <w:rPr>
          <w:sz w:val="24"/>
          <w:szCs w:val="24"/>
        </w:rPr>
        <w:t xml:space="preserve"> — коэффициент, определяемый соотношением </w:t>
      </w:r>
      <w:r>
        <w:rPr>
          <w:i/>
          <w:iCs/>
          <w:sz w:val="24"/>
          <w:szCs w:val="24"/>
        </w:rPr>
        <w:t>х/а</w:t>
      </w:r>
      <w:r>
        <w:rPr>
          <w:sz w:val="24"/>
          <w:szCs w:val="24"/>
        </w:rPr>
        <w:t xml:space="preserve"> (при </w:t>
      </w:r>
      <w:r>
        <w:rPr>
          <w:i/>
          <w:iCs/>
          <w:sz w:val="24"/>
          <w:szCs w:val="24"/>
        </w:rPr>
        <w:t>х</w:t>
      </w:r>
      <w:r>
        <w:rPr>
          <w:i/>
          <w:iCs/>
          <w:sz w:val="24"/>
          <w:szCs w:val="24"/>
          <w:lang w:val="en-US"/>
        </w:rPr>
        <w:t>/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 xml:space="preserve"> &gt; 10 </w:t>
      </w:r>
      <w:r>
        <w:rPr>
          <w:rFonts w:ascii="MT Symbol" w:hAnsi="MT Symbol" w:cs="MT Symbol"/>
          <w:sz w:val="24"/>
          <w:szCs w:val="24"/>
          <w:lang w:val="en-US"/>
        </w:rPr>
        <w:t></w:t>
      </w:r>
      <w:r>
        <w:rPr>
          <w:position w:val="-4"/>
          <w:sz w:val="16"/>
          <w:szCs w:val="16"/>
          <w:lang w:val="en-US"/>
        </w:rPr>
        <w:t>m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= 1).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регламентируется допустимая электрическая составляющая поля </w:t>
      </w:r>
      <w:r>
        <w:rPr>
          <w:i/>
          <w:iCs/>
          <w:sz w:val="24"/>
          <w:szCs w:val="24"/>
          <w:lang w:val="en-US"/>
        </w:rPr>
        <w:t>E</w:t>
      </w:r>
      <w:r>
        <w:rPr>
          <w:position w:val="-4"/>
          <w:sz w:val="16"/>
          <w:szCs w:val="16"/>
        </w:rPr>
        <w:t>д</w:t>
      </w:r>
      <w:r>
        <w:rPr>
          <w:sz w:val="24"/>
          <w:szCs w:val="24"/>
        </w:rPr>
        <w:t>, магнитная составляющая может быть определена из выражения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 H</w:t>
      </w:r>
      <w:r>
        <w:rPr>
          <w:b/>
          <w:bCs/>
          <w:position w:val="-4"/>
          <w:sz w:val="16"/>
          <w:szCs w:val="16"/>
        </w:rPr>
        <w:t>д</w:t>
      </w:r>
      <w:r>
        <w:rPr>
          <w:b/>
          <w:bCs/>
          <w:position w:val="-4"/>
          <w:sz w:val="16"/>
          <w:szCs w:val="16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=1,</w:t>
      </w:r>
      <w:r>
        <w:rPr>
          <w:b/>
          <w:bCs/>
          <w:sz w:val="24"/>
          <w:szCs w:val="24"/>
        </w:rPr>
        <w:t>27</w:t>
      </w:r>
      <w:r>
        <w:rPr>
          <w:rFonts w:ascii="MT Symbol" w:hAnsi="MT Symbol" w:cs="MT Symbol"/>
          <w:b/>
          <w:bCs/>
          <w:sz w:val="24"/>
          <w:szCs w:val="24"/>
        </w:rPr>
        <w:t></w:t>
      </w:r>
      <w:r>
        <w:rPr>
          <w:b/>
          <w:bCs/>
          <w:sz w:val="24"/>
          <w:szCs w:val="24"/>
        </w:rPr>
        <w:t>10</w:t>
      </w:r>
      <w:r>
        <w:rPr>
          <w:b/>
          <w:bCs/>
          <w:position w:val="12"/>
          <w:sz w:val="16"/>
          <w:szCs w:val="16"/>
          <w:lang w:val="en-US"/>
        </w:rPr>
        <w:t>5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(</w:t>
      </w:r>
      <w:r>
        <w:rPr>
          <w:b/>
          <w:bCs/>
          <w:i/>
          <w:iCs/>
          <w:sz w:val="24"/>
          <w:szCs w:val="24"/>
          <w:lang w:val="en-US"/>
        </w:rPr>
        <w:t>E</w:t>
      </w:r>
      <w:r>
        <w:rPr>
          <w:b/>
          <w:bCs/>
          <w:position w:val="-4"/>
          <w:sz w:val="16"/>
          <w:szCs w:val="16"/>
        </w:rPr>
        <w:t>д</w:t>
      </w:r>
      <w:r>
        <w:rPr>
          <w:b/>
          <w:bCs/>
          <w:position w:val="-4"/>
          <w:sz w:val="16"/>
          <w:szCs w:val="16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/</w:t>
      </w:r>
      <w:r>
        <w:rPr>
          <w:b/>
          <w:bCs/>
          <w:i/>
          <w:iCs/>
          <w:sz w:val="24"/>
          <w:szCs w:val="24"/>
          <w:lang w:val="en-US"/>
        </w:rPr>
        <w:t>xf</w:t>
      </w:r>
      <w:r>
        <w:rPr>
          <w:b/>
          <w:bCs/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(51)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f</w:t>
      </w:r>
      <w:r>
        <w:rPr>
          <w:sz w:val="24"/>
          <w:szCs w:val="24"/>
          <w:lang w:val="en-US"/>
        </w:rPr>
        <w:t xml:space="preserve"> —</w:t>
      </w:r>
      <w:r>
        <w:rPr>
          <w:sz w:val="24"/>
          <w:szCs w:val="24"/>
        </w:rPr>
        <w:t xml:space="preserve"> частота поля, Гц.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Экранирование —</w:t>
      </w:r>
      <w:r>
        <w:rPr>
          <w:sz w:val="24"/>
          <w:szCs w:val="24"/>
        </w:rPr>
        <w:t xml:space="preserve"> наиболее эффективный способ защиты. Электромагнитное поле ослабляется экраном вследствие создания в толще его поля противоположного направления. Степень ослабления электромагнитного поля зависит от глубины проникновения высокочастотного тока в толщу экрана. Чем больше магнитная проницаемость экрана и выше частота экранируемого поля, тем меньше глубина проникновения и необходимая толщина экрана. Экранируют либо источник излучений, либо рабочее место. Экраны бывают отражающие и поглощающие.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Для защиты работающих от электромагнитных излучений применяют заземленные экраны, кожухи, защитные козырьки, устанавливаемые на пути излучения. Средства защиты (экраны, кожухи) из радиопоглоща-ющих материалов выполняют в виде тонких резиновых ковриков, гибких или жестких листов поролона, ферромагнитных пластин.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Для защиты от электрических полей сверхвысокого напряжения (50 Гц) необходимо увеличивать высоту подвеса фазных проводов ЛЭП. Для открытых распределительных устройств рекомендуются заземленные экраны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(стационарные или временные) в виде козырьков, навесов и перегородок из металлической сетки возле коммутационных аппаратов, шкафов управления и контроля. К средствам индивидуальной защиты от электромагнитных излучений относят переносные зонты, комбинезоны и халаты из металлизированной ткани, осуществляющие защиту организма человека по принципу заземленного сетчатого экрана.</w:t>
      </w:r>
    </w:p>
    <w:p w:rsidR="009B01BC" w:rsidRDefault="009B01BC">
      <w:pPr>
        <w:widowControl w:val="0"/>
        <w:ind w:left="300"/>
        <w:jc w:val="both"/>
        <w:rPr>
          <w:sz w:val="24"/>
          <w:szCs w:val="24"/>
          <w:lang w:val="en-US"/>
        </w:rPr>
      </w:pP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Защита от лазерного излучения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Лазеры широко применяют в технике, медицине. Принцип действия лазеров основан на использовании вынужденного электромагнитного излучения, возникающего в результате возбуждения квантовой системы. Лазерное излучение является электромагнитным излучением, генерируемым в диапазоне длин волн 0,2—1000 мкм, который может быть разбит в соответствии с биологическим действием на ряд областей спектра: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0,2—0,4 мкм—ультрафиолетовая область; 0,4—0,7—видимая; 0,75—1,4 мкм — ближняя инфракрасная; свы-I ше 1,4 мкм—дальняя инфракрасная область. Основными энергетическими параметрами лазерного излучения I являются: энергия излучения, энергия импульса, мощность излучения, плотность энергии (мощности) излучения, длина волны.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При эксплуатации лазерных установок обслуживающий персонал может подвергаться воздействию ряда опасных и вредных производственных факторов. Основную опасность представляют прямое, рассеянное и отраженное излучение.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Наиболее чувствительным органом к лазерному излучению являются глаза — повреждения сетчатки глаз могут быть при сравнительно небольших интенсивностях.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>Лазерная безопасность — это совокупность технических, санитарно-гигиенических и организационных мероприятий, обеспечивающих безопасные условия труда персонала при использовании лазеров. Способы защиты от лазерного излучения подразделяют на коллективные и индивидуальные.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Коллективные средства защиты</w:t>
      </w:r>
      <w:r>
        <w:rPr>
          <w:sz w:val="24"/>
          <w:szCs w:val="24"/>
        </w:rPr>
        <w:t xml:space="preserve"> включают: применение телевизионных систем наблюдений за ходом процесса, защитные экраны (кожухи); системы блокировки и сигнализации; ограждение лазерно-опаснои зоны. Для контроля лазерного излучения и определения границ лазерно-опаснои зоны применяют калориметрические, фотоэлектрические и другие приборы.</w:t>
      </w:r>
    </w:p>
    <w:p w:rsidR="009B01BC" w:rsidRDefault="00836612">
      <w:pPr>
        <w:widowControl w:val="0"/>
        <w:ind w:left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качестве </w:t>
      </w:r>
      <w:r>
        <w:rPr>
          <w:i/>
          <w:iCs/>
          <w:sz w:val="24"/>
          <w:szCs w:val="24"/>
        </w:rPr>
        <w:t>средств индивидуальной защиты</w:t>
      </w:r>
      <w:r>
        <w:rPr>
          <w:sz w:val="24"/>
          <w:szCs w:val="24"/>
        </w:rPr>
        <w:t xml:space="preserve"> используют специальные противолазерные очки, щитки, маски, технологические халаты и перчатки. Для уменьшения опасности поражения за счет уменьшения диаметра зрачка оператора в помещениях должна быть хорошая освещенность рабочих мест: коэффициент естественной освещенности должен быть не менее 1 ,.5 %, а общее искусственное освещение должно создавать освещенность не менее 150 лк.</w:t>
      </w:r>
    </w:p>
    <w:p w:rsidR="009B01BC" w:rsidRDefault="009B01BC">
      <w:pPr>
        <w:widowControl w:val="0"/>
        <w:ind w:left="300"/>
        <w:jc w:val="both"/>
        <w:rPr>
          <w:sz w:val="24"/>
          <w:szCs w:val="24"/>
        </w:rPr>
      </w:pPr>
      <w:bookmarkStart w:id="0" w:name="_GoBack"/>
      <w:bookmarkEnd w:id="0"/>
    </w:p>
    <w:sectPr w:rsidR="009B01BC">
      <w:pgSz w:w="12240" w:h="15840"/>
      <w:pgMar w:top="850" w:right="850" w:bottom="850" w:left="1417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T Symbol">
    <w:altName w:val="Symbol"/>
    <w:panose1 w:val="00000000000000000000"/>
    <w:charset w:val="02"/>
    <w:family w:val="auto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612"/>
    <w:rsid w:val="00836612"/>
    <w:rsid w:val="009B01BC"/>
    <w:rsid w:val="00CA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docId w15:val="{F45D7DA9-BE3B-4F5F-BD1D-F5834EB3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3551</Words>
  <Characters>20246</Characters>
  <Application>Microsoft Office Word</Application>
  <DocSecurity>0</DocSecurity>
  <Lines>168</Lines>
  <Paragraphs>47</Paragraphs>
  <ScaleCrop>false</ScaleCrop>
  <Company>TORTUGA BAY</Company>
  <LinksUpToDate>false</LinksUpToDate>
  <CharactersWithSpaces>23750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KIDD</dc:creator>
  <cp:keywords/>
  <dc:description/>
  <cp:lastModifiedBy>admin</cp:lastModifiedBy>
  <cp:revision>2</cp:revision>
  <dcterms:created xsi:type="dcterms:W3CDTF">2014-02-19T09:14:00Z</dcterms:created>
  <dcterms:modified xsi:type="dcterms:W3CDTF">2014-02-19T09:14:00Z</dcterms:modified>
</cp:coreProperties>
</file>