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D01" w:rsidRDefault="00591D01">
      <w:pPr>
        <w:widowControl w:val="0"/>
        <w:spacing w:before="120"/>
        <w:jc w:val="center"/>
        <w:rPr>
          <w:b/>
          <w:bCs/>
          <w:color w:val="000000"/>
          <w:sz w:val="32"/>
          <w:szCs w:val="32"/>
        </w:rPr>
      </w:pPr>
      <w:r>
        <w:rPr>
          <w:b/>
          <w:bCs/>
          <w:color w:val="000000"/>
          <w:sz w:val="32"/>
          <w:szCs w:val="32"/>
        </w:rPr>
        <w:t>Международные отношения и международное право.</w:t>
      </w:r>
    </w:p>
    <w:p w:rsidR="00591D01" w:rsidRDefault="00591D01">
      <w:pPr>
        <w:widowControl w:val="0"/>
        <w:spacing w:before="120"/>
        <w:jc w:val="center"/>
        <w:rPr>
          <w:b/>
          <w:bCs/>
          <w:color w:val="000000"/>
          <w:sz w:val="28"/>
          <w:szCs w:val="28"/>
        </w:rPr>
      </w:pPr>
      <w:r>
        <w:rPr>
          <w:b/>
          <w:bCs/>
          <w:color w:val="000000"/>
          <w:sz w:val="28"/>
          <w:szCs w:val="28"/>
        </w:rPr>
        <w:t>Международное право как особая правовая система.</w:t>
      </w:r>
    </w:p>
    <w:p w:rsidR="00591D01" w:rsidRDefault="00591D01">
      <w:pPr>
        <w:widowControl w:val="0"/>
        <w:spacing w:before="120"/>
        <w:ind w:firstLine="567"/>
        <w:jc w:val="both"/>
        <w:rPr>
          <w:color w:val="000000"/>
          <w:sz w:val="24"/>
          <w:szCs w:val="24"/>
        </w:rPr>
      </w:pPr>
      <w:r>
        <w:rPr>
          <w:color w:val="000000"/>
          <w:sz w:val="24"/>
          <w:szCs w:val="24"/>
        </w:rPr>
        <w:t>Международное право – система юридических норм (особая правовая система), созданная государствами и другими субъектами международного права, призванная регулировать их (международные) отношения.</w:t>
      </w:r>
    </w:p>
    <w:p w:rsidR="00591D01" w:rsidRDefault="00591D01">
      <w:pPr>
        <w:widowControl w:val="0"/>
        <w:spacing w:before="120"/>
        <w:ind w:firstLine="567"/>
        <w:jc w:val="both"/>
        <w:rPr>
          <w:color w:val="000000"/>
          <w:sz w:val="24"/>
          <w:szCs w:val="24"/>
        </w:rPr>
      </w:pPr>
      <w:r>
        <w:rPr>
          <w:color w:val="000000"/>
          <w:sz w:val="24"/>
          <w:szCs w:val="24"/>
        </w:rPr>
        <w:t>Как отмечает проф. Г.В. Игнатенко, " международное право – сложный комплекс юридических норм, создаваемых государствами и межгосударственными организациями путем соглашений и представляющих собой самостоятельную правовую систему, предметом регулирования которой являются межгосударственные и иные международные отношения, а также определенные внутригосударственные отношения… Международное право по его изначальным характеристикам – совокупность юридических норм и регулятор определенных отношений – родственно праву государства (внутригосударственному, национальному праву), являющемуся традиционным объектом юриспруденции</w:t>
      </w:r>
      <w:r>
        <w:rPr>
          <w:rStyle w:val="a5"/>
          <w:color w:val="000000"/>
          <w:sz w:val="24"/>
          <w:szCs w:val="24"/>
        </w:rPr>
        <w:footnoteReference w:id="1"/>
      </w:r>
      <w:r>
        <w:rPr>
          <w:color w:val="000000"/>
          <w:sz w:val="24"/>
          <w:szCs w:val="24"/>
        </w:rPr>
        <w:t>".</w:t>
      </w:r>
    </w:p>
    <w:p w:rsidR="00591D01" w:rsidRDefault="00591D01">
      <w:pPr>
        <w:widowControl w:val="0"/>
        <w:spacing w:before="120"/>
        <w:ind w:firstLine="567"/>
        <w:jc w:val="both"/>
        <w:rPr>
          <w:color w:val="000000"/>
          <w:sz w:val="24"/>
          <w:szCs w:val="24"/>
        </w:rPr>
      </w:pPr>
      <w:r>
        <w:rPr>
          <w:color w:val="000000"/>
          <w:sz w:val="24"/>
          <w:szCs w:val="24"/>
        </w:rPr>
        <w:t>Международное право является особой правовой системой. Предмет его правового регулирования – "преимущественно межгосударственные отношения и иные отношения, выходящие за рамки юрисдикции отдельного государства, требующие совместного регулирования со стороны нескольких или многих государств либо международного сообщества государств в целом"</w:t>
      </w:r>
      <w:r>
        <w:rPr>
          <w:rStyle w:val="a5"/>
          <w:color w:val="000000"/>
          <w:sz w:val="24"/>
          <w:szCs w:val="24"/>
        </w:rPr>
        <w:footnoteReference w:id="2"/>
      </w:r>
      <w:r>
        <w:rPr>
          <w:color w:val="000000"/>
          <w:sz w:val="24"/>
          <w:szCs w:val="24"/>
        </w:rPr>
        <w:t>. Метод международно-правового регулирования – согласование "интересов различных государств"</w:t>
      </w:r>
      <w:r>
        <w:rPr>
          <w:rStyle w:val="a5"/>
          <w:color w:val="000000"/>
          <w:sz w:val="24"/>
          <w:szCs w:val="24"/>
        </w:rPr>
        <w:footnoteReference w:id="3"/>
      </w:r>
      <w:r>
        <w:rPr>
          <w:color w:val="000000"/>
          <w:sz w:val="24"/>
          <w:szCs w:val="24"/>
        </w:rPr>
        <w:t>.</w:t>
      </w:r>
    </w:p>
    <w:p w:rsidR="00591D01" w:rsidRDefault="00591D01">
      <w:pPr>
        <w:widowControl w:val="0"/>
        <w:spacing w:before="120"/>
        <w:ind w:firstLine="567"/>
        <w:jc w:val="both"/>
        <w:rPr>
          <w:color w:val="000000"/>
          <w:sz w:val="24"/>
          <w:szCs w:val="24"/>
        </w:rPr>
      </w:pPr>
      <w:r>
        <w:rPr>
          <w:color w:val="000000"/>
          <w:sz w:val="24"/>
          <w:szCs w:val="24"/>
        </w:rPr>
        <w:t>Нормы международного права: их виды и характеристика. Международный контроль (в рамках международных организаций).</w:t>
      </w:r>
    </w:p>
    <w:p w:rsidR="00591D01" w:rsidRDefault="00591D01">
      <w:pPr>
        <w:widowControl w:val="0"/>
        <w:spacing w:before="120"/>
        <w:ind w:firstLine="567"/>
        <w:jc w:val="both"/>
        <w:rPr>
          <w:color w:val="000000"/>
          <w:sz w:val="24"/>
          <w:szCs w:val="24"/>
        </w:rPr>
      </w:pPr>
      <w:r>
        <w:rPr>
          <w:color w:val="000000"/>
          <w:sz w:val="24"/>
          <w:szCs w:val="24"/>
        </w:rPr>
        <w:t>"Нормы международного права – это общеобязательные правила деятельности и взаимоотношений государств или иных субъектов"</w:t>
      </w:r>
      <w:r>
        <w:rPr>
          <w:rStyle w:val="a5"/>
          <w:color w:val="000000"/>
          <w:sz w:val="24"/>
          <w:szCs w:val="24"/>
        </w:rPr>
        <w:footnoteReference w:id="4"/>
      </w:r>
      <w:r>
        <w:rPr>
          <w:color w:val="000000"/>
          <w:sz w:val="24"/>
          <w:szCs w:val="24"/>
        </w:rPr>
        <w:t xml:space="preserve"> международного права.</w:t>
      </w:r>
    </w:p>
    <w:p w:rsidR="00591D01" w:rsidRDefault="00591D01">
      <w:pPr>
        <w:widowControl w:val="0"/>
        <w:spacing w:before="120"/>
        <w:jc w:val="center"/>
        <w:rPr>
          <w:b/>
          <w:bCs/>
          <w:color w:val="000000"/>
          <w:sz w:val="28"/>
          <w:szCs w:val="28"/>
        </w:rPr>
      </w:pPr>
      <w:r>
        <w:rPr>
          <w:b/>
          <w:bCs/>
          <w:color w:val="000000"/>
          <w:sz w:val="28"/>
          <w:szCs w:val="28"/>
        </w:rPr>
        <w:t>Виды норм международного права</w:t>
      </w:r>
      <w:r>
        <w:rPr>
          <w:rStyle w:val="a5"/>
          <w:b/>
          <w:bCs/>
          <w:color w:val="000000"/>
          <w:sz w:val="28"/>
          <w:szCs w:val="28"/>
        </w:rPr>
        <w:footnoteReference w:id="5"/>
      </w:r>
      <w:r>
        <w:rPr>
          <w:b/>
          <w:bCs/>
          <w:color w:val="000000"/>
          <w:sz w:val="28"/>
          <w:szCs w:val="28"/>
        </w:rPr>
        <w:t>:</w:t>
      </w:r>
    </w:p>
    <w:p w:rsidR="00591D01" w:rsidRDefault="00591D01">
      <w:pPr>
        <w:widowControl w:val="0"/>
        <w:spacing w:before="120"/>
        <w:ind w:firstLine="567"/>
        <w:jc w:val="both"/>
        <w:rPr>
          <w:color w:val="000000"/>
          <w:sz w:val="24"/>
          <w:szCs w:val="24"/>
        </w:rPr>
      </w:pPr>
      <w:r>
        <w:rPr>
          <w:color w:val="000000"/>
          <w:sz w:val="24"/>
          <w:szCs w:val="24"/>
        </w:rPr>
        <w:t>По форме:</w:t>
      </w:r>
    </w:p>
    <w:p w:rsidR="00591D01" w:rsidRDefault="00591D01">
      <w:pPr>
        <w:widowControl w:val="0"/>
        <w:spacing w:before="120"/>
        <w:ind w:firstLine="567"/>
        <w:jc w:val="both"/>
        <w:rPr>
          <w:color w:val="000000"/>
          <w:sz w:val="24"/>
          <w:szCs w:val="24"/>
        </w:rPr>
      </w:pPr>
      <w:r>
        <w:rPr>
          <w:color w:val="000000"/>
          <w:sz w:val="24"/>
          <w:szCs w:val="24"/>
        </w:rPr>
        <w:t>Документально закрепленные (например, норма, закрепленная в международном договоре).</w:t>
      </w:r>
    </w:p>
    <w:p w:rsidR="00591D01" w:rsidRDefault="00591D01">
      <w:pPr>
        <w:widowControl w:val="0"/>
        <w:spacing w:before="120"/>
        <w:ind w:firstLine="567"/>
        <w:jc w:val="both"/>
        <w:rPr>
          <w:color w:val="000000"/>
          <w:sz w:val="24"/>
          <w:szCs w:val="24"/>
        </w:rPr>
      </w:pPr>
      <w:r>
        <w:rPr>
          <w:color w:val="000000"/>
          <w:sz w:val="24"/>
          <w:szCs w:val="24"/>
        </w:rPr>
        <w:t>Существующие без документального закрепления (международно-правовые обычные нормы).</w:t>
      </w:r>
    </w:p>
    <w:p w:rsidR="00591D01" w:rsidRDefault="00591D01">
      <w:pPr>
        <w:widowControl w:val="0"/>
        <w:spacing w:before="120"/>
        <w:ind w:firstLine="567"/>
        <w:jc w:val="both"/>
        <w:rPr>
          <w:color w:val="000000"/>
          <w:sz w:val="24"/>
          <w:szCs w:val="24"/>
        </w:rPr>
      </w:pPr>
      <w:r>
        <w:rPr>
          <w:color w:val="000000"/>
          <w:sz w:val="24"/>
          <w:szCs w:val="24"/>
        </w:rPr>
        <w:t>В зависимости от предмета регулирования (по отраслям международного права).</w:t>
      </w:r>
    </w:p>
    <w:p w:rsidR="00591D01" w:rsidRDefault="00591D01">
      <w:pPr>
        <w:widowControl w:val="0"/>
        <w:spacing w:before="120"/>
        <w:ind w:firstLine="567"/>
        <w:jc w:val="both"/>
        <w:rPr>
          <w:color w:val="000000"/>
          <w:sz w:val="24"/>
          <w:szCs w:val="24"/>
        </w:rPr>
      </w:pPr>
      <w:r>
        <w:rPr>
          <w:color w:val="000000"/>
          <w:sz w:val="24"/>
          <w:szCs w:val="24"/>
        </w:rPr>
        <w:t>По субъектно-территориальной сфере:</w:t>
      </w:r>
    </w:p>
    <w:p w:rsidR="00591D01" w:rsidRDefault="00591D01">
      <w:pPr>
        <w:widowControl w:val="0"/>
        <w:spacing w:before="120"/>
        <w:ind w:firstLine="567"/>
        <w:jc w:val="both"/>
        <w:rPr>
          <w:color w:val="000000"/>
          <w:sz w:val="24"/>
          <w:szCs w:val="24"/>
        </w:rPr>
      </w:pPr>
      <w:r>
        <w:rPr>
          <w:color w:val="000000"/>
          <w:sz w:val="24"/>
          <w:szCs w:val="24"/>
        </w:rPr>
        <w:t xml:space="preserve">Универсальные нормы – нормы, регулирующие отношения, объект которых представляет всеобщий интерес, признанные подавляющим большинством или всеми государствами. Отдельно выделяются </w:t>
      </w:r>
      <w:r>
        <w:rPr>
          <w:color w:val="000000"/>
          <w:sz w:val="24"/>
          <w:szCs w:val="24"/>
          <w:lang w:val="en-US"/>
        </w:rPr>
        <w:t>jus</w:t>
      </w:r>
      <w:r>
        <w:rPr>
          <w:color w:val="000000"/>
          <w:sz w:val="24"/>
          <w:szCs w:val="24"/>
        </w:rPr>
        <w:t xml:space="preserve"> </w:t>
      </w:r>
      <w:r>
        <w:rPr>
          <w:color w:val="000000"/>
          <w:sz w:val="24"/>
          <w:szCs w:val="24"/>
          <w:lang w:val="en-US"/>
        </w:rPr>
        <w:t>cogens</w:t>
      </w:r>
      <w:r>
        <w:rPr>
          <w:rStyle w:val="a5"/>
          <w:color w:val="000000"/>
          <w:sz w:val="24"/>
          <w:szCs w:val="24"/>
          <w:lang w:val="en-US"/>
        </w:rPr>
        <w:footnoteReference w:id="6"/>
      </w:r>
      <w:r>
        <w:rPr>
          <w:color w:val="000000"/>
          <w:sz w:val="24"/>
          <w:szCs w:val="24"/>
        </w:rPr>
        <w:t xml:space="preserve"> – неоспоримые нормы, которые не могут быть изменены соглашением государств. Особое место занимают также принципы международного права, то есть наиболее общие, важные, коренные нормы международного права, признанные всеми государствами. Принципы являются императивными нормами </w:t>
      </w:r>
      <w:r>
        <w:rPr>
          <w:color w:val="000000"/>
          <w:sz w:val="24"/>
          <w:szCs w:val="24"/>
          <w:lang w:val="en-US"/>
        </w:rPr>
        <w:t>jus</w:t>
      </w:r>
      <w:r>
        <w:rPr>
          <w:color w:val="000000"/>
          <w:sz w:val="24"/>
          <w:szCs w:val="24"/>
        </w:rPr>
        <w:t xml:space="preserve"> </w:t>
      </w:r>
      <w:r>
        <w:rPr>
          <w:color w:val="000000"/>
          <w:sz w:val="24"/>
          <w:szCs w:val="24"/>
          <w:lang w:val="en-US"/>
        </w:rPr>
        <w:t>cogens</w:t>
      </w:r>
      <w:r>
        <w:rPr>
          <w:color w:val="000000"/>
          <w:sz w:val="24"/>
          <w:szCs w:val="24"/>
        </w:rPr>
        <w:t>. Подробнее о принципах см. 6 очерк.</w:t>
      </w:r>
    </w:p>
    <w:p w:rsidR="00591D01" w:rsidRDefault="00591D01">
      <w:pPr>
        <w:widowControl w:val="0"/>
        <w:spacing w:before="120"/>
        <w:ind w:firstLine="567"/>
        <w:jc w:val="both"/>
        <w:rPr>
          <w:color w:val="000000"/>
          <w:sz w:val="24"/>
          <w:szCs w:val="24"/>
        </w:rPr>
      </w:pPr>
      <w:r>
        <w:rPr>
          <w:color w:val="000000"/>
          <w:sz w:val="24"/>
          <w:szCs w:val="24"/>
        </w:rPr>
        <w:t>Региональные нормы – регулируют отношения между рядом государств региона (например, европейские конвенции).</w:t>
      </w:r>
    </w:p>
    <w:p w:rsidR="00591D01" w:rsidRDefault="00591D01">
      <w:pPr>
        <w:widowControl w:val="0"/>
        <w:spacing w:before="120"/>
        <w:ind w:firstLine="567"/>
        <w:jc w:val="both"/>
        <w:rPr>
          <w:color w:val="000000"/>
          <w:sz w:val="24"/>
          <w:szCs w:val="24"/>
        </w:rPr>
      </w:pPr>
      <w:r>
        <w:rPr>
          <w:color w:val="000000"/>
          <w:sz w:val="24"/>
          <w:szCs w:val="24"/>
        </w:rPr>
        <w:t>Локальные нормы – регулируют отношения между двумя или несколькими государствами.</w:t>
      </w:r>
    </w:p>
    <w:p w:rsidR="00591D01" w:rsidRDefault="00591D01">
      <w:pPr>
        <w:widowControl w:val="0"/>
        <w:spacing w:before="120"/>
        <w:ind w:firstLine="567"/>
        <w:jc w:val="both"/>
        <w:rPr>
          <w:color w:val="000000"/>
          <w:sz w:val="24"/>
          <w:szCs w:val="24"/>
        </w:rPr>
      </w:pPr>
      <w:r>
        <w:rPr>
          <w:color w:val="000000"/>
          <w:sz w:val="24"/>
          <w:szCs w:val="24"/>
        </w:rPr>
        <w:t>В зависимости от функционального назначения:</w:t>
      </w:r>
    </w:p>
    <w:p w:rsidR="00591D01" w:rsidRDefault="00591D01">
      <w:pPr>
        <w:widowControl w:val="0"/>
        <w:spacing w:before="120"/>
        <w:ind w:firstLine="567"/>
        <w:jc w:val="both"/>
        <w:rPr>
          <w:color w:val="000000"/>
          <w:sz w:val="24"/>
          <w:szCs w:val="24"/>
        </w:rPr>
      </w:pPr>
      <w:r>
        <w:rPr>
          <w:color w:val="000000"/>
          <w:sz w:val="24"/>
          <w:szCs w:val="24"/>
        </w:rPr>
        <w:t>Регулятивные нормы</w:t>
      </w:r>
      <w:r>
        <w:rPr>
          <w:rStyle w:val="a5"/>
          <w:color w:val="000000"/>
          <w:sz w:val="24"/>
          <w:szCs w:val="24"/>
        </w:rPr>
        <w:footnoteReference w:id="7"/>
      </w:r>
      <w:r>
        <w:rPr>
          <w:color w:val="000000"/>
          <w:sz w:val="24"/>
          <w:szCs w:val="24"/>
        </w:rPr>
        <w:t>.</w:t>
      </w:r>
    </w:p>
    <w:p w:rsidR="00591D01" w:rsidRDefault="00591D01">
      <w:pPr>
        <w:widowControl w:val="0"/>
        <w:spacing w:before="120"/>
        <w:ind w:firstLine="567"/>
        <w:jc w:val="both"/>
        <w:rPr>
          <w:color w:val="000000"/>
          <w:sz w:val="24"/>
          <w:szCs w:val="24"/>
        </w:rPr>
      </w:pPr>
      <w:r>
        <w:rPr>
          <w:color w:val="000000"/>
          <w:sz w:val="24"/>
          <w:szCs w:val="24"/>
        </w:rPr>
        <w:t>Охранительные нормы</w:t>
      </w:r>
      <w:r>
        <w:rPr>
          <w:rStyle w:val="a5"/>
          <w:color w:val="000000"/>
          <w:sz w:val="24"/>
          <w:szCs w:val="24"/>
        </w:rPr>
        <w:footnoteReference w:id="8"/>
      </w:r>
      <w:r>
        <w:rPr>
          <w:color w:val="000000"/>
          <w:sz w:val="24"/>
          <w:szCs w:val="24"/>
        </w:rPr>
        <w:t>.</w:t>
      </w:r>
    </w:p>
    <w:p w:rsidR="00591D01" w:rsidRDefault="00591D01">
      <w:pPr>
        <w:widowControl w:val="0"/>
        <w:spacing w:before="120"/>
        <w:ind w:firstLine="567"/>
        <w:jc w:val="both"/>
        <w:rPr>
          <w:color w:val="000000"/>
          <w:sz w:val="24"/>
          <w:szCs w:val="24"/>
        </w:rPr>
      </w:pPr>
      <w:r>
        <w:rPr>
          <w:color w:val="000000"/>
          <w:sz w:val="24"/>
          <w:szCs w:val="24"/>
        </w:rPr>
        <w:t>По характеру субъективных прав и обязанностей:</w:t>
      </w:r>
    </w:p>
    <w:p w:rsidR="00591D01" w:rsidRDefault="00591D01">
      <w:pPr>
        <w:widowControl w:val="0"/>
        <w:spacing w:before="120"/>
        <w:ind w:firstLine="567"/>
        <w:jc w:val="both"/>
        <w:rPr>
          <w:color w:val="000000"/>
          <w:sz w:val="24"/>
          <w:szCs w:val="24"/>
        </w:rPr>
      </w:pPr>
      <w:r>
        <w:rPr>
          <w:color w:val="000000"/>
          <w:sz w:val="24"/>
          <w:szCs w:val="24"/>
        </w:rPr>
        <w:t>Обязывающие нормы.</w:t>
      </w:r>
    </w:p>
    <w:p w:rsidR="00591D01" w:rsidRDefault="00591D01">
      <w:pPr>
        <w:widowControl w:val="0"/>
        <w:spacing w:before="120"/>
        <w:ind w:firstLine="567"/>
        <w:jc w:val="both"/>
        <w:rPr>
          <w:color w:val="000000"/>
          <w:sz w:val="24"/>
          <w:szCs w:val="24"/>
        </w:rPr>
      </w:pPr>
      <w:r>
        <w:rPr>
          <w:color w:val="000000"/>
          <w:sz w:val="24"/>
          <w:szCs w:val="24"/>
        </w:rPr>
        <w:t>Запрещающие нормы.</w:t>
      </w:r>
    </w:p>
    <w:p w:rsidR="00591D01" w:rsidRDefault="00591D01">
      <w:pPr>
        <w:widowControl w:val="0"/>
        <w:spacing w:before="120"/>
        <w:ind w:firstLine="567"/>
        <w:jc w:val="both"/>
        <w:rPr>
          <w:color w:val="000000"/>
          <w:sz w:val="24"/>
          <w:szCs w:val="24"/>
        </w:rPr>
      </w:pPr>
      <w:r>
        <w:rPr>
          <w:color w:val="000000"/>
          <w:sz w:val="24"/>
          <w:szCs w:val="24"/>
        </w:rPr>
        <w:t>Управомочивающие нормы.</w:t>
      </w:r>
    </w:p>
    <w:p w:rsidR="00591D01" w:rsidRDefault="00591D01">
      <w:pPr>
        <w:widowControl w:val="0"/>
        <w:spacing w:before="120"/>
        <w:ind w:firstLine="567"/>
        <w:jc w:val="both"/>
        <w:rPr>
          <w:color w:val="000000"/>
          <w:sz w:val="24"/>
          <w:szCs w:val="24"/>
        </w:rPr>
      </w:pPr>
      <w:r>
        <w:rPr>
          <w:color w:val="000000"/>
          <w:sz w:val="24"/>
          <w:szCs w:val="24"/>
        </w:rPr>
        <w:t>6.1. Материальные нормы.</w:t>
      </w:r>
    </w:p>
    <w:p w:rsidR="00591D01" w:rsidRDefault="00591D01">
      <w:pPr>
        <w:widowControl w:val="0"/>
        <w:spacing w:before="120"/>
        <w:ind w:firstLine="567"/>
        <w:jc w:val="both"/>
        <w:rPr>
          <w:color w:val="000000"/>
          <w:sz w:val="24"/>
          <w:szCs w:val="24"/>
        </w:rPr>
      </w:pPr>
      <w:r>
        <w:rPr>
          <w:color w:val="000000"/>
          <w:sz w:val="24"/>
          <w:szCs w:val="24"/>
        </w:rPr>
        <w:t xml:space="preserve">6.2. Процессуальные нормы. </w:t>
      </w:r>
    </w:p>
    <w:p w:rsidR="00591D01" w:rsidRDefault="00591D01">
      <w:pPr>
        <w:widowControl w:val="0"/>
        <w:spacing w:before="120"/>
        <w:ind w:firstLine="567"/>
        <w:jc w:val="both"/>
        <w:rPr>
          <w:color w:val="000000"/>
          <w:sz w:val="24"/>
          <w:szCs w:val="24"/>
        </w:rPr>
      </w:pPr>
      <w:r>
        <w:rPr>
          <w:color w:val="000000"/>
          <w:sz w:val="24"/>
          <w:szCs w:val="24"/>
        </w:rPr>
        <w:t>Характерные черты норм международного права</w:t>
      </w:r>
      <w:r>
        <w:rPr>
          <w:rStyle w:val="a5"/>
          <w:color w:val="000000"/>
          <w:sz w:val="24"/>
          <w:szCs w:val="24"/>
        </w:rPr>
        <w:footnoteReference w:id="9"/>
      </w:r>
      <w:r>
        <w:rPr>
          <w:color w:val="000000"/>
          <w:sz w:val="24"/>
          <w:szCs w:val="24"/>
        </w:rPr>
        <w:t>:</w:t>
      </w:r>
    </w:p>
    <w:p w:rsidR="00591D01" w:rsidRDefault="00591D01">
      <w:pPr>
        <w:widowControl w:val="0"/>
        <w:spacing w:before="120"/>
        <w:ind w:firstLine="567"/>
        <w:jc w:val="both"/>
        <w:rPr>
          <w:color w:val="000000"/>
          <w:sz w:val="24"/>
          <w:szCs w:val="24"/>
        </w:rPr>
      </w:pPr>
      <w:r>
        <w:rPr>
          <w:color w:val="000000"/>
          <w:sz w:val="24"/>
          <w:szCs w:val="24"/>
        </w:rPr>
        <w:t>Регулируют межгосударственные отношения и связанные с ними отношения других субъектов международного права.</w:t>
      </w:r>
    </w:p>
    <w:p w:rsidR="00591D01" w:rsidRDefault="00591D01">
      <w:pPr>
        <w:widowControl w:val="0"/>
        <w:spacing w:before="120"/>
        <w:ind w:firstLine="567"/>
        <w:jc w:val="both"/>
        <w:rPr>
          <w:color w:val="000000"/>
          <w:sz w:val="24"/>
          <w:szCs w:val="24"/>
        </w:rPr>
      </w:pPr>
      <w:r>
        <w:rPr>
          <w:color w:val="000000"/>
          <w:sz w:val="24"/>
          <w:szCs w:val="24"/>
        </w:rPr>
        <w:t>Создаются путем согласования позиций государств и (или) иных субъектов международного права.</w:t>
      </w:r>
    </w:p>
    <w:p w:rsidR="00591D01" w:rsidRDefault="00591D01">
      <w:pPr>
        <w:widowControl w:val="0"/>
        <w:spacing w:before="120"/>
        <w:ind w:firstLine="567"/>
        <w:jc w:val="both"/>
        <w:rPr>
          <w:color w:val="000000"/>
          <w:sz w:val="24"/>
          <w:szCs w:val="24"/>
        </w:rPr>
      </w:pPr>
      <w:r>
        <w:rPr>
          <w:color w:val="000000"/>
          <w:sz w:val="24"/>
          <w:szCs w:val="24"/>
        </w:rPr>
        <w:t>Закреплены в источниках международного права.</w:t>
      </w:r>
    </w:p>
    <w:p w:rsidR="00591D01" w:rsidRDefault="00591D01">
      <w:pPr>
        <w:widowControl w:val="0"/>
        <w:spacing w:before="120"/>
        <w:ind w:firstLine="567"/>
        <w:jc w:val="both"/>
        <w:rPr>
          <w:color w:val="000000"/>
          <w:sz w:val="24"/>
          <w:szCs w:val="24"/>
        </w:rPr>
      </w:pPr>
      <w:r>
        <w:rPr>
          <w:color w:val="000000"/>
          <w:sz w:val="24"/>
          <w:szCs w:val="24"/>
        </w:rPr>
        <w:t>Обеспечение реализации норм, как правило, самими государствами, индивидуально или коллективно, в том числе посредством создания межгосударственных организаций и органов.</w:t>
      </w:r>
    </w:p>
    <w:p w:rsidR="00591D01" w:rsidRDefault="00591D01">
      <w:pPr>
        <w:widowControl w:val="0"/>
        <w:spacing w:before="120"/>
        <w:ind w:firstLine="567"/>
        <w:jc w:val="both"/>
        <w:rPr>
          <w:color w:val="000000"/>
          <w:sz w:val="24"/>
          <w:szCs w:val="24"/>
        </w:rPr>
      </w:pPr>
      <w:r>
        <w:rPr>
          <w:color w:val="000000"/>
          <w:sz w:val="24"/>
          <w:szCs w:val="24"/>
        </w:rPr>
        <w:t>Международный контроль</w:t>
      </w:r>
      <w:r>
        <w:rPr>
          <w:rStyle w:val="a5"/>
          <w:color w:val="000000"/>
          <w:sz w:val="24"/>
          <w:szCs w:val="24"/>
        </w:rPr>
        <w:footnoteReference w:id="10"/>
      </w:r>
      <w:r>
        <w:rPr>
          <w:color w:val="000000"/>
          <w:sz w:val="24"/>
          <w:szCs w:val="24"/>
        </w:rPr>
        <w:t xml:space="preserve"> – одна из форм реализации норм международного права, включает сбор информации о деятельности тех или иных субъектов международного права, ее сопоставление и оценку с точки зрения соответствия требованиям норм международного права. Результатом международно-контрольной деятельности являются доклады, сообщения, другие материалы проверки, имеющие правовое значение. Международный контроль осуществляется, в частности, в рамках международных организаций, если соответствующие полномочия возлагаются на них нормами международного права. Функциями по осуществлению международного контроля в области международного гуманитарного права обладает, в частности, Международный комитет Красного Креста</w:t>
      </w:r>
      <w:r>
        <w:rPr>
          <w:rStyle w:val="a5"/>
          <w:color w:val="000000"/>
          <w:sz w:val="24"/>
          <w:szCs w:val="24"/>
        </w:rPr>
        <w:footnoteReference w:id="11"/>
      </w:r>
      <w:r>
        <w:rPr>
          <w:color w:val="000000"/>
          <w:sz w:val="24"/>
          <w:szCs w:val="24"/>
        </w:rPr>
        <w:t>.</w:t>
      </w:r>
    </w:p>
    <w:p w:rsidR="00591D01" w:rsidRDefault="00591D01">
      <w:pPr>
        <w:widowControl w:val="0"/>
        <w:spacing w:before="120"/>
        <w:jc w:val="center"/>
        <w:rPr>
          <w:b/>
          <w:bCs/>
          <w:color w:val="000000"/>
          <w:sz w:val="28"/>
          <w:szCs w:val="28"/>
        </w:rPr>
      </w:pPr>
      <w:r>
        <w:rPr>
          <w:b/>
          <w:bCs/>
          <w:color w:val="000000"/>
          <w:sz w:val="28"/>
          <w:szCs w:val="28"/>
        </w:rPr>
        <w:t>Список литературы</w:t>
      </w:r>
    </w:p>
    <w:p w:rsidR="00591D01" w:rsidRDefault="00591D01">
      <w:pPr>
        <w:widowControl w:val="0"/>
        <w:spacing w:before="120"/>
        <w:ind w:firstLine="567"/>
        <w:jc w:val="both"/>
        <w:rPr>
          <w:color w:val="000000"/>
          <w:sz w:val="24"/>
          <w:szCs w:val="24"/>
        </w:rPr>
      </w:pPr>
      <w:r>
        <w:rPr>
          <w:color w:val="000000"/>
          <w:sz w:val="24"/>
          <w:szCs w:val="24"/>
        </w:rPr>
        <w:t xml:space="preserve">Международное право: Учебник для вузов. – 2-е изд., изм. и доп. / Отв. ред. проф. Г.В. </w:t>
      </w:r>
    </w:p>
    <w:p w:rsidR="00591D01" w:rsidRDefault="00591D01">
      <w:pPr>
        <w:widowControl w:val="0"/>
        <w:spacing w:before="120"/>
        <w:ind w:firstLine="567"/>
        <w:jc w:val="both"/>
        <w:rPr>
          <w:color w:val="000000"/>
          <w:sz w:val="24"/>
          <w:szCs w:val="24"/>
          <w:lang w:val="en-US"/>
        </w:rPr>
      </w:pPr>
      <w:r>
        <w:rPr>
          <w:color w:val="000000"/>
          <w:sz w:val="24"/>
          <w:szCs w:val="24"/>
        </w:rPr>
        <w:t>Броунли Я. Международное право. Книга Первая (пер. С</w:t>
      </w:r>
      <w:r>
        <w:rPr>
          <w:color w:val="000000"/>
          <w:sz w:val="24"/>
          <w:szCs w:val="24"/>
          <w:lang w:val="en-US"/>
        </w:rPr>
        <w:t>.</w:t>
      </w:r>
      <w:r>
        <w:rPr>
          <w:color w:val="000000"/>
          <w:sz w:val="24"/>
          <w:szCs w:val="24"/>
        </w:rPr>
        <w:t>Н</w:t>
      </w:r>
      <w:r>
        <w:rPr>
          <w:color w:val="000000"/>
          <w:sz w:val="24"/>
          <w:szCs w:val="24"/>
          <w:lang w:val="en-US"/>
        </w:rPr>
        <w:t xml:space="preserve">. </w:t>
      </w:r>
      <w:r>
        <w:rPr>
          <w:color w:val="000000"/>
          <w:sz w:val="24"/>
          <w:szCs w:val="24"/>
        </w:rPr>
        <w:t>Андрианова</w:t>
      </w:r>
      <w:r>
        <w:rPr>
          <w:color w:val="000000"/>
          <w:sz w:val="24"/>
          <w:szCs w:val="24"/>
          <w:lang w:val="en-US"/>
        </w:rPr>
        <w:t xml:space="preserve">, </w:t>
      </w:r>
      <w:r>
        <w:rPr>
          <w:color w:val="000000"/>
          <w:sz w:val="24"/>
          <w:szCs w:val="24"/>
        </w:rPr>
        <w:t>ред</w:t>
      </w:r>
      <w:r>
        <w:rPr>
          <w:color w:val="000000"/>
          <w:sz w:val="24"/>
          <w:szCs w:val="24"/>
          <w:lang w:val="en-US"/>
        </w:rPr>
        <w:t xml:space="preserve">. </w:t>
      </w:r>
      <w:r>
        <w:rPr>
          <w:color w:val="000000"/>
          <w:sz w:val="24"/>
          <w:szCs w:val="24"/>
        </w:rPr>
        <w:t>и</w:t>
      </w:r>
      <w:r>
        <w:rPr>
          <w:color w:val="000000"/>
          <w:sz w:val="24"/>
          <w:szCs w:val="24"/>
          <w:lang w:val="en-US"/>
        </w:rPr>
        <w:t xml:space="preserve"> </w:t>
      </w:r>
      <w:r>
        <w:rPr>
          <w:color w:val="000000"/>
          <w:sz w:val="24"/>
          <w:szCs w:val="24"/>
        </w:rPr>
        <w:t>вступительная</w:t>
      </w:r>
      <w:r>
        <w:rPr>
          <w:color w:val="000000"/>
          <w:sz w:val="24"/>
          <w:szCs w:val="24"/>
          <w:lang w:val="en-US"/>
        </w:rPr>
        <w:t xml:space="preserve"> </w:t>
      </w:r>
      <w:r>
        <w:rPr>
          <w:color w:val="000000"/>
          <w:sz w:val="24"/>
          <w:szCs w:val="24"/>
        </w:rPr>
        <w:t>статья</w:t>
      </w:r>
      <w:r>
        <w:rPr>
          <w:color w:val="000000"/>
          <w:sz w:val="24"/>
          <w:szCs w:val="24"/>
          <w:lang w:val="en-US"/>
        </w:rPr>
        <w:t xml:space="preserve"> </w:t>
      </w:r>
      <w:r>
        <w:rPr>
          <w:color w:val="000000"/>
          <w:sz w:val="24"/>
          <w:szCs w:val="24"/>
        </w:rPr>
        <w:t>Г</w:t>
      </w:r>
      <w:r>
        <w:rPr>
          <w:color w:val="000000"/>
          <w:sz w:val="24"/>
          <w:szCs w:val="24"/>
          <w:lang w:val="en-US"/>
        </w:rPr>
        <w:t>.</w:t>
      </w:r>
      <w:r>
        <w:rPr>
          <w:color w:val="000000"/>
          <w:sz w:val="24"/>
          <w:szCs w:val="24"/>
        </w:rPr>
        <w:t>И</w:t>
      </w:r>
      <w:r>
        <w:rPr>
          <w:color w:val="000000"/>
          <w:sz w:val="24"/>
          <w:szCs w:val="24"/>
          <w:lang w:val="en-US"/>
        </w:rPr>
        <w:t xml:space="preserve">. </w:t>
      </w:r>
      <w:r>
        <w:rPr>
          <w:color w:val="000000"/>
          <w:sz w:val="24"/>
          <w:szCs w:val="24"/>
        </w:rPr>
        <w:t>Тункина</w:t>
      </w:r>
      <w:r>
        <w:rPr>
          <w:color w:val="000000"/>
          <w:sz w:val="24"/>
          <w:szCs w:val="24"/>
          <w:lang w:val="en-US"/>
        </w:rPr>
        <w:t xml:space="preserve">) </w:t>
      </w:r>
      <w:r>
        <w:rPr>
          <w:color w:val="000000"/>
          <w:sz w:val="24"/>
          <w:szCs w:val="24"/>
        </w:rPr>
        <w:t>М</w:t>
      </w:r>
      <w:r>
        <w:rPr>
          <w:color w:val="000000"/>
          <w:sz w:val="24"/>
          <w:szCs w:val="24"/>
          <w:lang w:val="en-US"/>
        </w:rPr>
        <w:t>., 1977 (first published: Brownlie J. Principles of Public International Law. Second Edition. Oxford, 1973).</w:t>
      </w:r>
    </w:p>
    <w:p w:rsidR="00591D01" w:rsidRDefault="00591D01">
      <w:pPr>
        <w:widowControl w:val="0"/>
        <w:spacing w:before="120"/>
        <w:ind w:firstLine="590"/>
        <w:jc w:val="both"/>
        <w:rPr>
          <w:color w:val="000000"/>
          <w:sz w:val="24"/>
          <w:szCs w:val="24"/>
        </w:rPr>
      </w:pPr>
      <w:bookmarkStart w:id="0" w:name="_GoBack"/>
      <w:bookmarkEnd w:id="0"/>
    </w:p>
    <w:sectPr w:rsidR="00591D01">
      <w:pgSz w:w="11906" w:h="16838"/>
      <w:pgMar w:top="1134" w:right="1134" w:bottom="1134" w:left="1134" w:header="1440" w:footer="1440"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1D01" w:rsidRDefault="00591D01">
      <w:r>
        <w:separator/>
      </w:r>
    </w:p>
  </w:endnote>
  <w:endnote w:type="continuationSeparator" w:id="0">
    <w:p w:rsidR="00591D01" w:rsidRDefault="00591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1D01" w:rsidRDefault="00591D01">
      <w:r>
        <w:separator/>
      </w:r>
    </w:p>
  </w:footnote>
  <w:footnote w:type="continuationSeparator" w:id="0">
    <w:p w:rsidR="00591D01" w:rsidRDefault="00591D01">
      <w:r>
        <w:continuationSeparator/>
      </w:r>
    </w:p>
  </w:footnote>
  <w:footnote w:id="1">
    <w:p w:rsidR="00591D01" w:rsidRDefault="00591D01">
      <w:pPr>
        <w:pStyle w:val="a3"/>
      </w:pPr>
      <w:r>
        <w:rPr>
          <w:rStyle w:val="a5"/>
        </w:rPr>
        <w:footnoteRef/>
      </w:r>
      <w:r>
        <w:t xml:space="preserve"> </w:t>
      </w:r>
      <w:r>
        <w:rPr>
          <w:i/>
          <w:iCs/>
        </w:rPr>
        <w:t>1</w:t>
      </w:r>
      <w:r>
        <w:t>, с.6.</w:t>
      </w:r>
    </w:p>
  </w:footnote>
  <w:footnote w:id="2">
    <w:p w:rsidR="00591D01" w:rsidRDefault="00591D01">
      <w:pPr>
        <w:pStyle w:val="a3"/>
      </w:pPr>
      <w:r>
        <w:rPr>
          <w:rStyle w:val="a5"/>
        </w:rPr>
        <w:footnoteRef/>
      </w:r>
      <w:r>
        <w:t xml:space="preserve"> </w:t>
      </w:r>
      <w:r>
        <w:rPr>
          <w:i/>
          <w:iCs/>
        </w:rPr>
        <w:t>1</w:t>
      </w:r>
      <w:r>
        <w:t>, с.12.</w:t>
      </w:r>
    </w:p>
  </w:footnote>
  <w:footnote w:id="3">
    <w:p w:rsidR="00591D01" w:rsidRDefault="00591D01">
      <w:pPr>
        <w:pStyle w:val="a3"/>
      </w:pPr>
      <w:r>
        <w:rPr>
          <w:rStyle w:val="a5"/>
        </w:rPr>
        <w:footnoteRef/>
      </w:r>
      <w:r>
        <w:t xml:space="preserve"> </w:t>
      </w:r>
      <w:r>
        <w:rPr>
          <w:i/>
          <w:iCs/>
        </w:rPr>
        <w:t>1</w:t>
      </w:r>
      <w:r>
        <w:t>, с.12.</w:t>
      </w:r>
    </w:p>
  </w:footnote>
  <w:footnote w:id="4">
    <w:p w:rsidR="00591D01" w:rsidRDefault="00591D01">
      <w:pPr>
        <w:pStyle w:val="a3"/>
      </w:pPr>
      <w:r>
        <w:rPr>
          <w:rStyle w:val="a5"/>
        </w:rPr>
        <w:footnoteRef/>
      </w:r>
      <w:r>
        <w:t xml:space="preserve"> </w:t>
      </w:r>
      <w:r>
        <w:rPr>
          <w:i/>
          <w:iCs/>
        </w:rPr>
        <w:t>1</w:t>
      </w:r>
      <w:r>
        <w:t>, с.89.</w:t>
      </w:r>
    </w:p>
  </w:footnote>
  <w:footnote w:id="5">
    <w:p w:rsidR="00591D01" w:rsidRDefault="00591D01">
      <w:pPr>
        <w:pStyle w:val="a3"/>
      </w:pPr>
      <w:r>
        <w:rPr>
          <w:rStyle w:val="a5"/>
        </w:rPr>
        <w:footnoteRef/>
      </w:r>
      <w:r>
        <w:t xml:space="preserve"> См.: </w:t>
      </w:r>
      <w:r>
        <w:rPr>
          <w:i/>
          <w:iCs/>
        </w:rPr>
        <w:t>1</w:t>
      </w:r>
      <w:r>
        <w:t>, сс.92-97.</w:t>
      </w:r>
    </w:p>
  </w:footnote>
  <w:footnote w:id="6">
    <w:p w:rsidR="00591D01" w:rsidRDefault="00591D01">
      <w:pPr>
        <w:pStyle w:val="a3"/>
      </w:pPr>
      <w:r>
        <w:rPr>
          <w:rStyle w:val="a5"/>
        </w:rPr>
        <w:footnoteRef/>
      </w:r>
      <w:r>
        <w:t xml:space="preserve"> См. ст.53 Венской конвенции о праве международных договоров.</w:t>
      </w:r>
    </w:p>
  </w:footnote>
  <w:footnote w:id="7">
    <w:p w:rsidR="00591D01" w:rsidRDefault="00591D01">
      <w:pPr>
        <w:pStyle w:val="a3"/>
      </w:pPr>
      <w:r>
        <w:rPr>
          <w:rStyle w:val="a5"/>
        </w:rPr>
        <w:footnoteRef/>
      </w:r>
      <w:r>
        <w:t xml:space="preserve"> Напр., ст.231 Конвенции ООН по морскому праву.</w:t>
      </w:r>
    </w:p>
  </w:footnote>
  <w:footnote w:id="8">
    <w:p w:rsidR="00591D01" w:rsidRDefault="00591D01">
      <w:pPr>
        <w:pStyle w:val="a3"/>
      </w:pPr>
      <w:r>
        <w:rPr>
          <w:rStyle w:val="a5"/>
        </w:rPr>
        <w:footnoteRef/>
      </w:r>
      <w:r>
        <w:t xml:space="preserve"> Напр., ст.ст.41,42 Устава ООН.</w:t>
      </w:r>
    </w:p>
  </w:footnote>
  <w:footnote w:id="9">
    <w:p w:rsidR="00591D01" w:rsidRDefault="00591D01">
      <w:pPr>
        <w:pStyle w:val="a3"/>
      </w:pPr>
      <w:r>
        <w:rPr>
          <w:rStyle w:val="a5"/>
        </w:rPr>
        <w:footnoteRef/>
      </w:r>
      <w:r>
        <w:t xml:space="preserve"> </w:t>
      </w:r>
      <w:r>
        <w:rPr>
          <w:i/>
          <w:iCs/>
        </w:rPr>
        <w:t>1</w:t>
      </w:r>
      <w:r>
        <w:t>, с.89.</w:t>
      </w:r>
    </w:p>
  </w:footnote>
  <w:footnote w:id="10">
    <w:p w:rsidR="00591D01" w:rsidRDefault="00591D01">
      <w:pPr>
        <w:pStyle w:val="a3"/>
      </w:pPr>
      <w:r>
        <w:rPr>
          <w:rStyle w:val="a5"/>
        </w:rPr>
        <w:footnoteRef/>
      </w:r>
      <w:r>
        <w:t xml:space="preserve"> </w:t>
      </w:r>
      <w:r>
        <w:rPr>
          <w:i/>
          <w:iCs/>
        </w:rPr>
        <w:t>1</w:t>
      </w:r>
      <w:r>
        <w:t>, сс.159-160.</w:t>
      </w:r>
    </w:p>
  </w:footnote>
  <w:footnote w:id="11">
    <w:p w:rsidR="00591D01" w:rsidRDefault="00591D01">
      <w:pPr>
        <w:pStyle w:val="a3"/>
      </w:pPr>
      <w:r>
        <w:rPr>
          <w:rStyle w:val="a5"/>
        </w:rPr>
        <w:footnoteRef/>
      </w:r>
      <w:r>
        <w:t xml:space="preserve"> См., напр., ст.126 Конвенции об обращении с военнопленными.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62C8F"/>
    <w:multiLevelType w:val="multilevel"/>
    <w:tmpl w:val="1E867AE0"/>
    <w:lvl w:ilvl="0">
      <w:start w:val="1"/>
      <w:numFmt w:val="decimal"/>
      <w:lvlText w:val="%1."/>
      <w:lvlJc w:val="left"/>
      <w:pPr>
        <w:tabs>
          <w:tab w:val="num" w:pos="1665"/>
        </w:tabs>
        <w:ind w:left="1665" w:hanging="945"/>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1">
    <w:nsid w:val="025B1163"/>
    <w:multiLevelType w:val="hybridMultilevel"/>
    <w:tmpl w:val="A73AF0E6"/>
    <w:lvl w:ilvl="0" w:tplc="F32EC25A">
      <w:start w:val="1"/>
      <w:numFmt w:val="decimal"/>
      <w:lvlText w:val="%1."/>
      <w:lvlJc w:val="left"/>
      <w:pPr>
        <w:tabs>
          <w:tab w:val="num" w:pos="1680"/>
        </w:tabs>
        <w:ind w:left="1680" w:hanging="9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
    <w:nsid w:val="04D21BF4"/>
    <w:multiLevelType w:val="multilevel"/>
    <w:tmpl w:val="5BBEE6FA"/>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10"/>
        </w:tabs>
        <w:ind w:left="1110" w:hanging="39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
    <w:nsid w:val="053868ED"/>
    <w:multiLevelType w:val="hybridMultilevel"/>
    <w:tmpl w:val="9F0E68C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064D5B8E"/>
    <w:multiLevelType w:val="hybridMultilevel"/>
    <w:tmpl w:val="3822EBA4"/>
    <w:lvl w:ilvl="0" w:tplc="A7CCBC10">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5">
    <w:nsid w:val="071427FF"/>
    <w:multiLevelType w:val="hybridMultilevel"/>
    <w:tmpl w:val="952E7D3E"/>
    <w:lvl w:ilvl="0" w:tplc="2A44F184">
      <w:numFmt w:val="none"/>
      <w:lvlText w:val=""/>
      <w:lvlJc w:val="left"/>
      <w:pPr>
        <w:tabs>
          <w:tab w:val="num" w:pos="360"/>
        </w:tabs>
      </w:pPr>
    </w:lvl>
    <w:lvl w:ilvl="1" w:tplc="0EC4D660">
      <w:start w:val="1"/>
      <w:numFmt w:val="lowerLetter"/>
      <w:lvlText w:val="%2."/>
      <w:lvlJc w:val="left"/>
      <w:pPr>
        <w:tabs>
          <w:tab w:val="num" w:pos="1800"/>
        </w:tabs>
        <w:ind w:left="1800" w:hanging="360"/>
      </w:pPr>
    </w:lvl>
    <w:lvl w:ilvl="2" w:tplc="C74658A0">
      <w:start w:val="1"/>
      <w:numFmt w:val="lowerRoman"/>
      <w:lvlText w:val="%3."/>
      <w:lvlJc w:val="right"/>
      <w:pPr>
        <w:tabs>
          <w:tab w:val="num" w:pos="2520"/>
        </w:tabs>
        <w:ind w:left="2520" w:hanging="180"/>
      </w:pPr>
    </w:lvl>
    <w:lvl w:ilvl="3" w:tplc="88802DF6">
      <w:start w:val="1"/>
      <w:numFmt w:val="decimal"/>
      <w:lvlText w:val="%4."/>
      <w:lvlJc w:val="left"/>
      <w:pPr>
        <w:tabs>
          <w:tab w:val="num" w:pos="3240"/>
        </w:tabs>
        <w:ind w:left="3240" w:hanging="360"/>
      </w:pPr>
    </w:lvl>
    <w:lvl w:ilvl="4" w:tplc="9B1034A4">
      <w:start w:val="1"/>
      <w:numFmt w:val="lowerLetter"/>
      <w:lvlText w:val="%5."/>
      <w:lvlJc w:val="left"/>
      <w:pPr>
        <w:tabs>
          <w:tab w:val="num" w:pos="3960"/>
        </w:tabs>
        <w:ind w:left="3960" w:hanging="360"/>
      </w:pPr>
    </w:lvl>
    <w:lvl w:ilvl="5" w:tplc="D384F520">
      <w:start w:val="1"/>
      <w:numFmt w:val="lowerRoman"/>
      <w:lvlText w:val="%6."/>
      <w:lvlJc w:val="right"/>
      <w:pPr>
        <w:tabs>
          <w:tab w:val="num" w:pos="4680"/>
        </w:tabs>
        <w:ind w:left="4680" w:hanging="180"/>
      </w:pPr>
    </w:lvl>
    <w:lvl w:ilvl="6" w:tplc="97A62DC4">
      <w:start w:val="1"/>
      <w:numFmt w:val="decimal"/>
      <w:lvlText w:val="%7."/>
      <w:lvlJc w:val="left"/>
      <w:pPr>
        <w:tabs>
          <w:tab w:val="num" w:pos="5400"/>
        </w:tabs>
        <w:ind w:left="5400" w:hanging="360"/>
      </w:pPr>
    </w:lvl>
    <w:lvl w:ilvl="7" w:tplc="FE34A43A">
      <w:start w:val="1"/>
      <w:numFmt w:val="lowerLetter"/>
      <w:lvlText w:val="%8."/>
      <w:lvlJc w:val="left"/>
      <w:pPr>
        <w:tabs>
          <w:tab w:val="num" w:pos="6120"/>
        </w:tabs>
        <w:ind w:left="6120" w:hanging="360"/>
      </w:pPr>
    </w:lvl>
    <w:lvl w:ilvl="8" w:tplc="B3F08574">
      <w:start w:val="1"/>
      <w:numFmt w:val="lowerRoman"/>
      <w:lvlText w:val="%9."/>
      <w:lvlJc w:val="right"/>
      <w:pPr>
        <w:tabs>
          <w:tab w:val="num" w:pos="6840"/>
        </w:tabs>
        <w:ind w:left="6840" w:hanging="180"/>
      </w:pPr>
    </w:lvl>
  </w:abstractNum>
  <w:abstractNum w:abstractNumId="6">
    <w:nsid w:val="07CA02C6"/>
    <w:multiLevelType w:val="hybridMultilevel"/>
    <w:tmpl w:val="29E0CBE4"/>
    <w:lvl w:ilvl="0" w:tplc="C8B2FEB6">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7">
    <w:nsid w:val="08403F80"/>
    <w:multiLevelType w:val="hybridMultilevel"/>
    <w:tmpl w:val="BA944020"/>
    <w:lvl w:ilvl="0" w:tplc="434892C2">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8">
    <w:nsid w:val="0C344787"/>
    <w:multiLevelType w:val="hybridMultilevel"/>
    <w:tmpl w:val="A94C7A0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0C926AEC"/>
    <w:multiLevelType w:val="hybridMultilevel"/>
    <w:tmpl w:val="7F901EF8"/>
    <w:lvl w:ilvl="0" w:tplc="7D2A2986">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0">
    <w:nsid w:val="0E877B81"/>
    <w:multiLevelType w:val="hybridMultilevel"/>
    <w:tmpl w:val="BC8A881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0FD63C3E"/>
    <w:multiLevelType w:val="hybridMultilevel"/>
    <w:tmpl w:val="199A7182"/>
    <w:lvl w:ilvl="0" w:tplc="AD66B6D2">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2">
    <w:nsid w:val="18385BE6"/>
    <w:multiLevelType w:val="hybridMultilevel"/>
    <w:tmpl w:val="EC0C4E7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19173FBF"/>
    <w:multiLevelType w:val="multilevel"/>
    <w:tmpl w:val="3282FFB6"/>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14">
    <w:nsid w:val="1B93181E"/>
    <w:multiLevelType w:val="hybridMultilevel"/>
    <w:tmpl w:val="A9E2CC04"/>
    <w:lvl w:ilvl="0" w:tplc="220C9DEA">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5">
    <w:nsid w:val="1C2A231B"/>
    <w:multiLevelType w:val="hybridMultilevel"/>
    <w:tmpl w:val="55726DA0"/>
    <w:lvl w:ilvl="0" w:tplc="A6C0AE54">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6">
    <w:nsid w:val="20B320D6"/>
    <w:multiLevelType w:val="hybridMultilevel"/>
    <w:tmpl w:val="9788CA32"/>
    <w:lvl w:ilvl="0" w:tplc="4FCA8526">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7">
    <w:nsid w:val="252B100B"/>
    <w:multiLevelType w:val="hybridMultilevel"/>
    <w:tmpl w:val="AC9C47C6"/>
    <w:lvl w:ilvl="0" w:tplc="5A1A0ACC">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8">
    <w:nsid w:val="2599152C"/>
    <w:multiLevelType w:val="hybridMultilevel"/>
    <w:tmpl w:val="F800BD52"/>
    <w:lvl w:ilvl="0" w:tplc="20C449EA">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9">
    <w:nsid w:val="2A3A1E88"/>
    <w:multiLevelType w:val="multilevel"/>
    <w:tmpl w:val="8B688B9E"/>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20">
    <w:nsid w:val="376448DC"/>
    <w:multiLevelType w:val="hybridMultilevel"/>
    <w:tmpl w:val="091EFCCA"/>
    <w:lvl w:ilvl="0" w:tplc="4EEE810C">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1">
    <w:nsid w:val="38DC0C3B"/>
    <w:multiLevelType w:val="hybridMultilevel"/>
    <w:tmpl w:val="210ACE02"/>
    <w:lvl w:ilvl="0" w:tplc="48E04742">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2">
    <w:nsid w:val="39EC40F5"/>
    <w:multiLevelType w:val="hybridMultilevel"/>
    <w:tmpl w:val="9FE0C7E4"/>
    <w:lvl w:ilvl="0" w:tplc="D7AED024">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3">
    <w:nsid w:val="3AF04953"/>
    <w:multiLevelType w:val="hybridMultilevel"/>
    <w:tmpl w:val="F16426DE"/>
    <w:lvl w:ilvl="0" w:tplc="A80A0722">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4">
    <w:nsid w:val="3C956F9B"/>
    <w:multiLevelType w:val="hybridMultilevel"/>
    <w:tmpl w:val="FC6456B2"/>
    <w:lvl w:ilvl="0" w:tplc="550AB8B2">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5">
    <w:nsid w:val="3EE50951"/>
    <w:multiLevelType w:val="hybridMultilevel"/>
    <w:tmpl w:val="E90E6656"/>
    <w:lvl w:ilvl="0" w:tplc="FF342AA2">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6">
    <w:nsid w:val="40D27159"/>
    <w:multiLevelType w:val="hybridMultilevel"/>
    <w:tmpl w:val="8C8EAB52"/>
    <w:lvl w:ilvl="0" w:tplc="A7E23098">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7">
    <w:nsid w:val="42021245"/>
    <w:multiLevelType w:val="hybridMultilevel"/>
    <w:tmpl w:val="414EA4EA"/>
    <w:lvl w:ilvl="0" w:tplc="A8822F1A">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8">
    <w:nsid w:val="44BA4E46"/>
    <w:multiLevelType w:val="hybridMultilevel"/>
    <w:tmpl w:val="2242B6CE"/>
    <w:lvl w:ilvl="0" w:tplc="3418E956">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9">
    <w:nsid w:val="46F57016"/>
    <w:multiLevelType w:val="hybridMultilevel"/>
    <w:tmpl w:val="0FF463A6"/>
    <w:lvl w:ilvl="0" w:tplc="2B90AFD6">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0">
    <w:nsid w:val="4B960D3B"/>
    <w:multiLevelType w:val="hybridMultilevel"/>
    <w:tmpl w:val="A90CB3D4"/>
    <w:lvl w:ilvl="0" w:tplc="EA66CDDA">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1">
    <w:nsid w:val="513062C6"/>
    <w:multiLevelType w:val="hybridMultilevel"/>
    <w:tmpl w:val="BE3A6496"/>
    <w:lvl w:ilvl="0" w:tplc="5A223286">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2">
    <w:nsid w:val="54B6094F"/>
    <w:multiLevelType w:val="hybridMultilevel"/>
    <w:tmpl w:val="B4C6B662"/>
    <w:lvl w:ilvl="0" w:tplc="4970BC48">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3">
    <w:nsid w:val="604F0213"/>
    <w:multiLevelType w:val="hybridMultilevel"/>
    <w:tmpl w:val="933A935A"/>
    <w:lvl w:ilvl="0" w:tplc="023E4D80">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4">
    <w:nsid w:val="62E64A64"/>
    <w:multiLevelType w:val="hybridMultilevel"/>
    <w:tmpl w:val="C5F6191A"/>
    <w:lvl w:ilvl="0" w:tplc="09E03070">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5">
    <w:nsid w:val="68154500"/>
    <w:multiLevelType w:val="hybridMultilevel"/>
    <w:tmpl w:val="51B62A42"/>
    <w:lvl w:ilvl="0" w:tplc="093A44D0">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6">
    <w:nsid w:val="6A6D2146"/>
    <w:multiLevelType w:val="multilevel"/>
    <w:tmpl w:val="C80CF5BC"/>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10"/>
        </w:tabs>
        <w:ind w:left="1110" w:hanging="39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7">
    <w:nsid w:val="6E6B3C99"/>
    <w:multiLevelType w:val="multilevel"/>
    <w:tmpl w:val="C7B04BD0"/>
    <w:lvl w:ilvl="0">
      <w:start w:val="1"/>
      <w:numFmt w:val="decimal"/>
      <w:lvlText w:val="%1."/>
      <w:lvlJc w:val="left"/>
      <w:pPr>
        <w:tabs>
          <w:tab w:val="num" w:pos="1665"/>
        </w:tabs>
        <w:ind w:left="1665" w:hanging="945"/>
      </w:pPr>
      <w:rPr>
        <w:rFonts w:hint="default"/>
      </w:rPr>
    </w:lvl>
    <w:lvl w:ilvl="1">
      <w:start w:val="1"/>
      <w:numFmt w:val="decimal"/>
      <w:isLgl/>
      <w:lvlText w:val="%1.%2."/>
      <w:lvlJc w:val="left"/>
      <w:pPr>
        <w:tabs>
          <w:tab w:val="num" w:pos="1110"/>
        </w:tabs>
        <w:ind w:left="1110" w:hanging="39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8">
    <w:nsid w:val="6F3F0C26"/>
    <w:multiLevelType w:val="hybridMultilevel"/>
    <w:tmpl w:val="46C68D0C"/>
    <w:lvl w:ilvl="0" w:tplc="59B4D6CE">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9">
    <w:nsid w:val="76126168"/>
    <w:multiLevelType w:val="hybridMultilevel"/>
    <w:tmpl w:val="A87652D4"/>
    <w:lvl w:ilvl="0" w:tplc="CE148CCA">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40">
    <w:nsid w:val="7714104B"/>
    <w:multiLevelType w:val="multilevel"/>
    <w:tmpl w:val="FF5E79AC"/>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10"/>
        </w:tabs>
        <w:ind w:left="1110" w:hanging="39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41">
    <w:nsid w:val="78EF3E5F"/>
    <w:multiLevelType w:val="hybridMultilevel"/>
    <w:tmpl w:val="9536A456"/>
    <w:lvl w:ilvl="0" w:tplc="7A78C880">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42">
    <w:nsid w:val="799938E1"/>
    <w:multiLevelType w:val="multilevel"/>
    <w:tmpl w:val="963AC42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855"/>
        </w:tabs>
        <w:ind w:left="855" w:hanging="49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num w:numId="1">
    <w:abstractNumId w:val="36"/>
  </w:num>
  <w:num w:numId="2">
    <w:abstractNumId w:val="10"/>
  </w:num>
  <w:num w:numId="3">
    <w:abstractNumId w:val="33"/>
  </w:num>
  <w:num w:numId="4">
    <w:abstractNumId w:val="8"/>
  </w:num>
  <w:num w:numId="5">
    <w:abstractNumId w:val="12"/>
  </w:num>
  <w:num w:numId="6">
    <w:abstractNumId w:val="3"/>
  </w:num>
  <w:num w:numId="7">
    <w:abstractNumId w:val="24"/>
  </w:num>
  <w:num w:numId="8">
    <w:abstractNumId w:val="32"/>
  </w:num>
  <w:num w:numId="9">
    <w:abstractNumId w:val="11"/>
  </w:num>
  <w:num w:numId="10">
    <w:abstractNumId w:val="1"/>
  </w:num>
  <w:num w:numId="11">
    <w:abstractNumId w:val="5"/>
  </w:num>
  <w:num w:numId="12">
    <w:abstractNumId w:val="37"/>
  </w:num>
  <w:num w:numId="13">
    <w:abstractNumId w:val="21"/>
  </w:num>
  <w:num w:numId="14">
    <w:abstractNumId w:val="0"/>
  </w:num>
  <w:num w:numId="15">
    <w:abstractNumId w:val="14"/>
  </w:num>
  <w:num w:numId="16">
    <w:abstractNumId w:val="22"/>
  </w:num>
  <w:num w:numId="17">
    <w:abstractNumId w:val="20"/>
  </w:num>
  <w:num w:numId="18">
    <w:abstractNumId w:val="26"/>
  </w:num>
  <w:num w:numId="19">
    <w:abstractNumId w:val="9"/>
  </w:num>
  <w:num w:numId="20">
    <w:abstractNumId w:val="15"/>
  </w:num>
  <w:num w:numId="21">
    <w:abstractNumId w:val="39"/>
  </w:num>
  <w:num w:numId="22">
    <w:abstractNumId w:val="34"/>
  </w:num>
  <w:num w:numId="23">
    <w:abstractNumId w:val="6"/>
  </w:num>
  <w:num w:numId="24">
    <w:abstractNumId w:val="16"/>
  </w:num>
  <w:num w:numId="25">
    <w:abstractNumId w:val="40"/>
  </w:num>
  <w:num w:numId="26">
    <w:abstractNumId w:val="42"/>
  </w:num>
  <w:num w:numId="27">
    <w:abstractNumId w:val="18"/>
  </w:num>
  <w:num w:numId="28">
    <w:abstractNumId w:val="23"/>
  </w:num>
  <w:num w:numId="29">
    <w:abstractNumId w:val="13"/>
  </w:num>
  <w:num w:numId="30">
    <w:abstractNumId w:val="4"/>
  </w:num>
  <w:num w:numId="31">
    <w:abstractNumId w:val="29"/>
  </w:num>
  <w:num w:numId="32">
    <w:abstractNumId w:val="31"/>
  </w:num>
  <w:num w:numId="33">
    <w:abstractNumId w:val="19"/>
  </w:num>
  <w:num w:numId="34">
    <w:abstractNumId w:val="35"/>
  </w:num>
  <w:num w:numId="35">
    <w:abstractNumId w:val="27"/>
  </w:num>
  <w:num w:numId="36">
    <w:abstractNumId w:val="30"/>
  </w:num>
  <w:num w:numId="37">
    <w:abstractNumId w:val="25"/>
  </w:num>
  <w:num w:numId="38">
    <w:abstractNumId w:val="7"/>
  </w:num>
  <w:num w:numId="39">
    <w:abstractNumId w:val="2"/>
  </w:num>
  <w:num w:numId="40">
    <w:abstractNumId w:val="28"/>
  </w:num>
  <w:num w:numId="41">
    <w:abstractNumId w:val="17"/>
  </w:num>
  <w:num w:numId="42">
    <w:abstractNumId w:val="41"/>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392C"/>
    <w:rsid w:val="0052392C"/>
    <w:rsid w:val="00591D01"/>
    <w:rsid w:val="006D2CD2"/>
    <w:rsid w:val="00CA360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838C856-F520-4423-934E-16BD0F65C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tyle>
  <w:style w:type="character" w:customStyle="1" w:styleId="a4">
    <w:name w:val="Текст сноски Знак"/>
    <w:link w:val="a3"/>
    <w:uiPriority w:val="99"/>
    <w:semiHidden/>
    <w:rPr>
      <w:rFonts w:ascii="Times New Roman" w:hAnsi="Times New Roman" w:cs="Times New Roman"/>
      <w:sz w:val="20"/>
      <w:szCs w:val="20"/>
    </w:rPr>
  </w:style>
  <w:style w:type="character" w:styleId="a5">
    <w:name w:val="footnote reference"/>
    <w:uiPriority w:val="99"/>
    <w:rPr>
      <w:vertAlign w:val="superscript"/>
    </w:rPr>
  </w:style>
  <w:style w:type="paragraph" w:customStyle="1" w:styleId="Heading">
    <w:name w:val="Heading"/>
    <w:uiPriority w:val="99"/>
    <w:pPr>
      <w:autoSpaceDE w:val="0"/>
      <w:autoSpaceDN w:val="0"/>
      <w:adjustRightInd w:val="0"/>
    </w:pPr>
    <w:rPr>
      <w:rFonts w:ascii="Arial" w:hAnsi="Arial" w:cs="Arial"/>
      <w:b/>
      <w:bCs/>
      <w:sz w:val="22"/>
      <w:szCs w:val="22"/>
      <w:lang w:val="ru-RU" w:eastAsia="ru-RU"/>
    </w:rPr>
  </w:style>
  <w:style w:type="character" w:styleId="a6">
    <w:name w:val="Hyperlink"/>
    <w:uiPriority w:val="99"/>
    <w:rPr>
      <w:color w:val="0000FF"/>
      <w:u w:val="single"/>
    </w:rPr>
  </w:style>
  <w:style w:type="paragraph" w:styleId="a7">
    <w:name w:val="footer"/>
    <w:basedOn w:val="a"/>
    <w:link w:val="a8"/>
    <w:uiPriority w:val="99"/>
    <w:pPr>
      <w:tabs>
        <w:tab w:val="center" w:pos="4677"/>
        <w:tab w:val="right" w:pos="9355"/>
      </w:tabs>
    </w:pPr>
    <w:rPr>
      <w:sz w:val="24"/>
      <w:szCs w:val="24"/>
    </w:rPr>
  </w:style>
  <w:style w:type="character" w:customStyle="1" w:styleId="a8">
    <w:name w:val="Нижний колонтитул Знак"/>
    <w:link w:val="a7"/>
    <w:uiPriority w:val="99"/>
    <w:semiHidden/>
    <w:rPr>
      <w:rFonts w:ascii="Times New Roman" w:hAnsi="Times New Roman" w:cs="Times New Roman"/>
      <w:sz w:val="20"/>
      <w:szCs w:val="20"/>
    </w:rPr>
  </w:style>
  <w:style w:type="character" w:styleId="a9">
    <w:name w:val="page number"/>
    <w:uiPriority w:val="99"/>
  </w:style>
  <w:style w:type="paragraph" w:styleId="aa">
    <w:name w:val="Balloon Text"/>
    <w:basedOn w:val="a"/>
    <w:link w:val="ab"/>
    <w:uiPriority w:val="99"/>
    <w:rPr>
      <w:rFonts w:ascii="Tahoma" w:hAnsi="Tahoma" w:cs="Tahoma"/>
      <w:sz w:val="16"/>
      <w:szCs w:val="16"/>
    </w:rPr>
  </w:style>
  <w:style w:type="character" w:customStyle="1" w:styleId="ab">
    <w:name w:val="Текст выноски Знак"/>
    <w:link w:val="aa"/>
    <w:uiPriority w:val="99"/>
    <w:semiHidden/>
    <w:rPr>
      <w:rFonts w:ascii="Tahoma" w:hAnsi="Tahoma" w:cs="Tahoma"/>
      <w:sz w:val="16"/>
      <w:szCs w:val="16"/>
    </w:rPr>
  </w:style>
  <w:style w:type="paragraph" w:styleId="ac">
    <w:name w:val="header"/>
    <w:basedOn w:val="a"/>
    <w:link w:val="ad"/>
    <w:uiPriority w:val="99"/>
    <w:pPr>
      <w:tabs>
        <w:tab w:val="center" w:pos="4677"/>
        <w:tab w:val="right" w:pos="9355"/>
      </w:tabs>
    </w:pPr>
    <w:rPr>
      <w:sz w:val="24"/>
      <w:szCs w:val="24"/>
    </w:rPr>
  </w:style>
  <w:style w:type="character" w:customStyle="1" w:styleId="ad">
    <w:name w:val="Верхний колонтитул Знак"/>
    <w:link w:val="ac"/>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2801</Words>
  <Characters>1598</Characters>
  <Application>Microsoft Office Word</Application>
  <DocSecurity>0</DocSecurity>
  <Lines>13</Lines>
  <Paragraphs>8</Paragraphs>
  <ScaleCrop>false</ScaleCrop>
  <HeadingPairs>
    <vt:vector size="2" baseType="variant">
      <vt:variant>
        <vt:lpstr>Название</vt:lpstr>
      </vt:variant>
      <vt:variant>
        <vt:i4>1</vt:i4>
      </vt:variant>
    </vt:vector>
  </HeadingPairs>
  <TitlesOfParts>
    <vt:vector size="1" baseType="lpstr">
      <vt:lpstr>Международные отношения и международное право</vt:lpstr>
    </vt:vector>
  </TitlesOfParts>
  <Company>PERSONAL COMPUTERS</Company>
  <LinksUpToDate>false</LinksUpToDate>
  <CharactersWithSpaces>4391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Международные отношения и международное право</dc:title>
  <dc:subject/>
  <dc:creator>USER</dc:creator>
  <cp:keywords/>
  <dc:description/>
  <cp:lastModifiedBy>admin</cp:lastModifiedBy>
  <cp:revision>2</cp:revision>
  <dcterms:created xsi:type="dcterms:W3CDTF">2014-01-26T07:19:00Z</dcterms:created>
  <dcterms:modified xsi:type="dcterms:W3CDTF">2014-01-26T07:19:00Z</dcterms:modified>
</cp:coreProperties>
</file>