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ADA" w:rsidRDefault="00A67ADA">
      <w:pPr>
        <w:ind w:firstLine="0"/>
        <w:jc w:val="center"/>
        <w:rPr>
          <w:b/>
          <w:bCs/>
        </w:rPr>
      </w:pPr>
      <w:r>
        <w:rPr>
          <w:b/>
          <w:bCs/>
        </w:rPr>
        <w:t>СОДЕРЖАНИЕ</w:t>
      </w:r>
    </w:p>
    <w:p w:rsidR="00A67ADA" w:rsidRDefault="00A67ADA">
      <w:pPr>
        <w:ind w:firstLine="0"/>
        <w:jc w:val="center"/>
        <w:rPr>
          <w:b/>
          <w:bCs/>
        </w:rPr>
      </w:pPr>
    </w:p>
    <w:p w:rsidR="00A67ADA" w:rsidRPr="00A67ADA" w:rsidRDefault="00A67ADA" w:rsidP="00A67ADA">
      <w:pPr>
        <w:pStyle w:val="12"/>
        <w:tabs>
          <w:tab w:val="right" w:leader="dot" w:pos="9339"/>
        </w:tabs>
        <w:ind w:firstLine="0"/>
        <w:rPr>
          <w:b w:val="0"/>
          <w:bCs w:val="0"/>
          <w:caps w:val="0"/>
          <w:noProof/>
          <w:sz w:val="24"/>
          <w:szCs w:val="24"/>
        </w:rPr>
      </w:pPr>
      <w:r w:rsidRPr="00DA2DE3">
        <w:rPr>
          <w:rStyle w:val="afc"/>
          <w:b w:val="0"/>
          <w:bCs w:val="0"/>
          <w:noProof/>
        </w:rPr>
        <w:t>Введение</w:t>
      </w:r>
      <w:r w:rsidRPr="00A67ADA">
        <w:rPr>
          <w:b w:val="0"/>
          <w:bCs w:val="0"/>
          <w:noProof/>
          <w:webHidden/>
        </w:rPr>
        <w:tab/>
        <w:t>2</w:t>
      </w:r>
    </w:p>
    <w:p w:rsidR="00A67ADA" w:rsidRPr="00A67ADA" w:rsidRDefault="00A67ADA" w:rsidP="00A67ADA">
      <w:pPr>
        <w:pStyle w:val="26"/>
        <w:tabs>
          <w:tab w:val="right" w:leader="dot" w:pos="9339"/>
        </w:tabs>
        <w:ind w:left="0" w:firstLine="0"/>
        <w:rPr>
          <w:smallCaps w:val="0"/>
          <w:noProof/>
          <w:sz w:val="24"/>
          <w:szCs w:val="24"/>
        </w:rPr>
      </w:pPr>
      <w:r w:rsidRPr="00DA2DE3">
        <w:rPr>
          <w:rStyle w:val="afc"/>
          <w:noProof/>
        </w:rPr>
        <w:t>1. Рынок ценных бумаг в Российской Федерации</w:t>
      </w:r>
      <w:r w:rsidRPr="00A67ADA">
        <w:rPr>
          <w:noProof/>
          <w:webHidden/>
        </w:rPr>
        <w:tab/>
        <w:t>5</w:t>
      </w:r>
    </w:p>
    <w:p w:rsidR="00A67ADA" w:rsidRPr="00A67ADA" w:rsidRDefault="00A67ADA" w:rsidP="00A67ADA">
      <w:pPr>
        <w:pStyle w:val="35"/>
        <w:tabs>
          <w:tab w:val="right" w:leader="dot" w:pos="9339"/>
        </w:tabs>
        <w:ind w:left="0" w:firstLine="0"/>
        <w:rPr>
          <w:i w:val="0"/>
          <w:iCs w:val="0"/>
          <w:noProof/>
          <w:sz w:val="24"/>
          <w:szCs w:val="24"/>
        </w:rPr>
      </w:pPr>
      <w:r w:rsidRPr="00DA2DE3">
        <w:rPr>
          <w:rStyle w:val="afc"/>
          <w:noProof/>
        </w:rPr>
        <w:t>1.1. Виды ценных бумаг и их характеристика</w:t>
      </w:r>
      <w:r w:rsidRPr="00A67ADA">
        <w:rPr>
          <w:noProof/>
          <w:webHidden/>
        </w:rPr>
        <w:tab/>
        <w:t>5</w:t>
      </w:r>
    </w:p>
    <w:p w:rsidR="00A67ADA" w:rsidRPr="00A67ADA" w:rsidRDefault="00A67ADA" w:rsidP="00A67ADA">
      <w:pPr>
        <w:pStyle w:val="35"/>
        <w:tabs>
          <w:tab w:val="right" w:leader="dot" w:pos="9339"/>
        </w:tabs>
        <w:ind w:left="0" w:firstLine="0"/>
        <w:rPr>
          <w:i w:val="0"/>
          <w:iCs w:val="0"/>
          <w:noProof/>
          <w:sz w:val="24"/>
          <w:szCs w:val="24"/>
        </w:rPr>
      </w:pPr>
      <w:r w:rsidRPr="00DA2DE3">
        <w:rPr>
          <w:rStyle w:val="afc"/>
          <w:noProof/>
        </w:rPr>
        <w:t>1.2. Организация российского рынка ценных бумаг</w:t>
      </w:r>
      <w:r w:rsidRPr="00A67ADA">
        <w:rPr>
          <w:noProof/>
          <w:webHidden/>
        </w:rPr>
        <w:tab/>
        <w:t>16</w:t>
      </w:r>
    </w:p>
    <w:p w:rsidR="00A67ADA" w:rsidRPr="00A67ADA" w:rsidRDefault="00A67ADA" w:rsidP="00A67ADA">
      <w:pPr>
        <w:pStyle w:val="35"/>
        <w:tabs>
          <w:tab w:val="right" w:leader="dot" w:pos="9339"/>
        </w:tabs>
        <w:ind w:left="0" w:firstLine="0"/>
        <w:rPr>
          <w:i w:val="0"/>
          <w:iCs w:val="0"/>
          <w:noProof/>
          <w:sz w:val="24"/>
          <w:szCs w:val="24"/>
        </w:rPr>
      </w:pPr>
      <w:r w:rsidRPr="00DA2DE3">
        <w:rPr>
          <w:rStyle w:val="afc"/>
          <w:noProof/>
        </w:rPr>
        <w:t>1.3. Банки на рынке ценных бумаг</w:t>
      </w:r>
      <w:r w:rsidRPr="00A67ADA">
        <w:rPr>
          <w:noProof/>
          <w:webHidden/>
        </w:rPr>
        <w:tab/>
        <w:t>20</w:t>
      </w:r>
    </w:p>
    <w:p w:rsidR="00A67ADA" w:rsidRPr="00A67ADA" w:rsidRDefault="00A67ADA" w:rsidP="00A67ADA">
      <w:pPr>
        <w:pStyle w:val="26"/>
        <w:tabs>
          <w:tab w:val="right" w:leader="dot" w:pos="9339"/>
        </w:tabs>
        <w:ind w:left="0" w:firstLine="0"/>
        <w:rPr>
          <w:smallCaps w:val="0"/>
          <w:noProof/>
          <w:sz w:val="24"/>
          <w:szCs w:val="24"/>
        </w:rPr>
      </w:pPr>
      <w:r w:rsidRPr="00DA2DE3">
        <w:rPr>
          <w:rStyle w:val="afc"/>
          <w:noProof/>
        </w:rPr>
        <w:t>2. Порядок выпуска ценных бумаг банками</w:t>
      </w:r>
      <w:r w:rsidRPr="00A67ADA">
        <w:rPr>
          <w:noProof/>
          <w:webHidden/>
        </w:rPr>
        <w:tab/>
        <w:t>25</w:t>
      </w:r>
    </w:p>
    <w:p w:rsidR="00A67ADA" w:rsidRPr="00A67ADA" w:rsidRDefault="00A67ADA" w:rsidP="00A67ADA">
      <w:pPr>
        <w:pStyle w:val="35"/>
        <w:tabs>
          <w:tab w:val="right" w:leader="dot" w:pos="9339"/>
        </w:tabs>
        <w:ind w:left="0" w:firstLine="0"/>
        <w:rPr>
          <w:i w:val="0"/>
          <w:iCs w:val="0"/>
          <w:noProof/>
          <w:sz w:val="24"/>
          <w:szCs w:val="24"/>
        </w:rPr>
      </w:pPr>
      <w:r w:rsidRPr="00DA2DE3">
        <w:rPr>
          <w:rStyle w:val="afc"/>
          <w:noProof/>
        </w:rPr>
        <w:t>2.1. Правила эмиссии ценных бумаг</w:t>
      </w:r>
      <w:r w:rsidRPr="00A67ADA">
        <w:rPr>
          <w:noProof/>
          <w:webHidden/>
        </w:rPr>
        <w:tab/>
        <w:t>25</w:t>
      </w:r>
    </w:p>
    <w:p w:rsidR="00A67ADA" w:rsidRPr="00A67ADA" w:rsidRDefault="00A67ADA" w:rsidP="00A67ADA">
      <w:pPr>
        <w:pStyle w:val="35"/>
        <w:tabs>
          <w:tab w:val="right" w:leader="dot" w:pos="9339"/>
        </w:tabs>
        <w:ind w:left="0" w:firstLine="0"/>
        <w:rPr>
          <w:i w:val="0"/>
          <w:iCs w:val="0"/>
          <w:noProof/>
          <w:sz w:val="24"/>
          <w:szCs w:val="24"/>
        </w:rPr>
      </w:pPr>
      <w:r w:rsidRPr="00DA2DE3">
        <w:rPr>
          <w:rStyle w:val="afc"/>
          <w:noProof/>
        </w:rPr>
        <w:t>2.2. Процедура выпуска ценных бумаг</w:t>
      </w:r>
      <w:r w:rsidRPr="00A67ADA">
        <w:rPr>
          <w:noProof/>
          <w:webHidden/>
        </w:rPr>
        <w:tab/>
        <w:t>45</w:t>
      </w:r>
    </w:p>
    <w:p w:rsidR="00A67ADA" w:rsidRPr="00A67ADA" w:rsidRDefault="00A67ADA" w:rsidP="00A67ADA">
      <w:pPr>
        <w:pStyle w:val="35"/>
        <w:tabs>
          <w:tab w:val="right" w:leader="dot" w:pos="9339"/>
        </w:tabs>
        <w:ind w:left="0" w:firstLine="0"/>
        <w:rPr>
          <w:i w:val="0"/>
          <w:iCs w:val="0"/>
          <w:noProof/>
          <w:sz w:val="24"/>
          <w:szCs w:val="24"/>
        </w:rPr>
      </w:pPr>
      <w:r w:rsidRPr="00DA2DE3">
        <w:rPr>
          <w:rStyle w:val="afc"/>
          <w:noProof/>
        </w:rPr>
        <w:t>2.3. Учет операций по выпуску ценных бумаг</w:t>
      </w:r>
      <w:r w:rsidRPr="00A67ADA">
        <w:rPr>
          <w:noProof/>
          <w:webHidden/>
        </w:rPr>
        <w:tab/>
        <w:t>63</w:t>
      </w:r>
    </w:p>
    <w:p w:rsidR="00A67ADA" w:rsidRPr="00A67ADA" w:rsidRDefault="00A67ADA" w:rsidP="00A67ADA">
      <w:pPr>
        <w:pStyle w:val="26"/>
        <w:tabs>
          <w:tab w:val="right" w:leader="dot" w:pos="9339"/>
        </w:tabs>
        <w:ind w:left="0" w:firstLine="0"/>
        <w:rPr>
          <w:smallCaps w:val="0"/>
          <w:noProof/>
          <w:sz w:val="24"/>
          <w:szCs w:val="24"/>
        </w:rPr>
      </w:pPr>
      <w:r w:rsidRPr="00DA2DE3">
        <w:rPr>
          <w:rStyle w:val="afc"/>
          <w:noProof/>
        </w:rPr>
        <w:t>3. Анализ эмиссионной деятельности Уваровского филиала  АКБ</w:t>
      </w:r>
      <w:r w:rsidRPr="00A67ADA">
        <w:rPr>
          <w:noProof/>
          <w:webHidden/>
        </w:rPr>
        <w:tab/>
        <w:t>73</w:t>
      </w:r>
    </w:p>
    <w:p w:rsidR="00A67ADA" w:rsidRPr="00A67ADA" w:rsidRDefault="00A67ADA" w:rsidP="00A67ADA">
      <w:pPr>
        <w:pStyle w:val="26"/>
        <w:tabs>
          <w:tab w:val="right" w:leader="dot" w:pos="9339"/>
        </w:tabs>
        <w:ind w:left="0" w:firstLine="0"/>
        <w:rPr>
          <w:smallCaps w:val="0"/>
          <w:noProof/>
          <w:sz w:val="24"/>
          <w:szCs w:val="24"/>
        </w:rPr>
      </w:pPr>
      <w:r w:rsidRPr="00DA2DE3">
        <w:rPr>
          <w:rStyle w:val="afc"/>
          <w:noProof/>
        </w:rPr>
        <w:t>"Тамбовкредитпромбанк" (ОАО)</w:t>
      </w:r>
      <w:r w:rsidRPr="00A67ADA">
        <w:rPr>
          <w:noProof/>
          <w:webHidden/>
        </w:rPr>
        <w:tab/>
        <w:t>73</w:t>
      </w:r>
    </w:p>
    <w:p w:rsidR="00A67ADA" w:rsidRPr="00A67ADA" w:rsidRDefault="00A67ADA" w:rsidP="00A67ADA">
      <w:pPr>
        <w:pStyle w:val="35"/>
        <w:tabs>
          <w:tab w:val="right" w:leader="dot" w:pos="9339"/>
        </w:tabs>
        <w:ind w:left="0" w:firstLine="0"/>
        <w:rPr>
          <w:i w:val="0"/>
          <w:iCs w:val="0"/>
          <w:noProof/>
          <w:sz w:val="24"/>
          <w:szCs w:val="24"/>
        </w:rPr>
      </w:pPr>
      <w:r w:rsidRPr="00DA2DE3">
        <w:rPr>
          <w:rStyle w:val="afc"/>
          <w:noProof/>
        </w:rPr>
        <w:t>3.1. Оценка эмиссионной деятельности Уваровского филиала АКБ "Тамбовкредитпромбанк" (ОАО)</w:t>
      </w:r>
      <w:r w:rsidRPr="00A67ADA">
        <w:rPr>
          <w:noProof/>
          <w:webHidden/>
        </w:rPr>
        <w:tab/>
        <w:t>73</w:t>
      </w:r>
    </w:p>
    <w:p w:rsidR="00A67ADA" w:rsidRPr="00A67ADA" w:rsidRDefault="00A67ADA" w:rsidP="00A67ADA">
      <w:pPr>
        <w:pStyle w:val="35"/>
        <w:tabs>
          <w:tab w:val="right" w:leader="dot" w:pos="9339"/>
        </w:tabs>
        <w:ind w:left="0" w:firstLine="0"/>
        <w:rPr>
          <w:i w:val="0"/>
          <w:iCs w:val="0"/>
          <w:noProof/>
          <w:sz w:val="24"/>
          <w:szCs w:val="24"/>
        </w:rPr>
      </w:pPr>
      <w:r w:rsidRPr="00DA2DE3">
        <w:rPr>
          <w:rStyle w:val="afc"/>
          <w:noProof/>
        </w:rPr>
        <w:t>3.2. Вексель АКБ "Тамбовкредитпромбанк" (ОАО)</w:t>
      </w:r>
      <w:r w:rsidRPr="00A67ADA">
        <w:rPr>
          <w:noProof/>
          <w:webHidden/>
        </w:rPr>
        <w:tab/>
        <w:t>74</w:t>
      </w:r>
    </w:p>
    <w:p w:rsidR="00A67ADA" w:rsidRPr="00A67ADA" w:rsidRDefault="00A67ADA" w:rsidP="00A67ADA">
      <w:pPr>
        <w:pStyle w:val="35"/>
        <w:tabs>
          <w:tab w:val="right" w:leader="dot" w:pos="9339"/>
        </w:tabs>
        <w:ind w:left="0" w:firstLine="0"/>
        <w:rPr>
          <w:i w:val="0"/>
          <w:iCs w:val="0"/>
          <w:noProof/>
          <w:sz w:val="24"/>
          <w:szCs w:val="24"/>
        </w:rPr>
      </w:pPr>
      <w:r w:rsidRPr="00DA2DE3">
        <w:rPr>
          <w:rStyle w:val="afc"/>
          <w:noProof/>
        </w:rPr>
        <w:t>3.3. Эффективность выпуска банковского векселя</w:t>
      </w:r>
      <w:r w:rsidRPr="00A67ADA">
        <w:rPr>
          <w:noProof/>
          <w:webHidden/>
        </w:rPr>
        <w:tab/>
        <w:t>81</w:t>
      </w:r>
    </w:p>
    <w:p w:rsidR="00A67ADA" w:rsidRPr="00A67ADA" w:rsidRDefault="00A67ADA" w:rsidP="00A67ADA">
      <w:pPr>
        <w:pStyle w:val="12"/>
        <w:tabs>
          <w:tab w:val="right" w:leader="dot" w:pos="9339"/>
        </w:tabs>
        <w:ind w:firstLine="0"/>
        <w:rPr>
          <w:b w:val="0"/>
          <w:bCs w:val="0"/>
          <w:caps w:val="0"/>
          <w:noProof/>
          <w:sz w:val="24"/>
          <w:szCs w:val="24"/>
        </w:rPr>
      </w:pPr>
      <w:r w:rsidRPr="00DA2DE3">
        <w:rPr>
          <w:rStyle w:val="afc"/>
          <w:b w:val="0"/>
          <w:bCs w:val="0"/>
          <w:noProof/>
        </w:rPr>
        <w:t>Заключение</w:t>
      </w:r>
      <w:r w:rsidRPr="00A67ADA">
        <w:rPr>
          <w:b w:val="0"/>
          <w:bCs w:val="0"/>
          <w:noProof/>
          <w:webHidden/>
        </w:rPr>
        <w:tab/>
        <w:t>85</w:t>
      </w:r>
    </w:p>
    <w:p w:rsidR="00A67ADA" w:rsidRPr="00A67ADA" w:rsidRDefault="00A67ADA" w:rsidP="00A67ADA">
      <w:pPr>
        <w:pStyle w:val="12"/>
        <w:tabs>
          <w:tab w:val="right" w:leader="dot" w:pos="9339"/>
        </w:tabs>
        <w:ind w:firstLine="0"/>
        <w:rPr>
          <w:b w:val="0"/>
          <w:bCs w:val="0"/>
          <w:caps w:val="0"/>
          <w:noProof/>
          <w:sz w:val="24"/>
          <w:szCs w:val="24"/>
        </w:rPr>
      </w:pPr>
      <w:r w:rsidRPr="00DA2DE3">
        <w:rPr>
          <w:rStyle w:val="afc"/>
          <w:b w:val="0"/>
          <w:bCs w:val="0"/>
          <w:noProof/>
        </w:rPr>
        <w:t>Список использованной литературы</w:t>
      </w:r>
      <w:r w:rsidRPr="00A67ADA">
        <w:rPr>
          <w:b w:val="0"/>
          <w:bCs w:val="0"/>
          <w:noProof/>
          <w:webHidden/>
        </w:rPr>
        <w:tab/>
        <w:t>88</w:t>
      </w:r>
    </w:p>
    <w:p w:rsidR="00A67ADA" w:rsidRDefault="00A67ADA" w:rsidP="00A67ADA">
      <w:pPr>
        <w:ind w:firstLine="0"/>
        <w:jc w:val="center"/>
        <w:rPr>
          <w:b/>
          <w:bCs/>
        </w:rPr>
      </w:pPr>
    </w:p>
    <w:p w:rsidR="00A67ADA" w:rsidRDefault="00A67ADA">
      <w:pPr>
        <w:pStyle w:val="1"/>
      </w:pPr>
      <w:r>
        <w:br w:type="page"/>
      </w:r>
      <w:bookmarkStart w:id="0" w:name="_Toc218798750"/>
      <w:r>
        <w:lastRenderedPageBreak/>
        <w:t>Введение</w:t>
      </w:r>
      <w:bookmarkEnd w:id="0"/>
    </w:p>
    <w:p w:rsidR="00A67ADA" w:rsidRDefault="00A67ADA"/>
    <w:p w:rsidR="00A67ADA" w:rsidRDefault="00A67ADA">
      <w:r>
        <w:t xml:space="preserve">В настоящее время общей нормативной базы для регулирования выпуска всех видов ценных бумаг нет. Только векселя и чеки имеют мощную нормативную базу: “Положение о чеках” и “Положение о простом и переводном векселе”. Поэтому представляется целесообразным выделить из числа всех выпускаемых ценных бумаг те, при помощи которых привлекаются большие денежные средства. Такие ценные бумаги выпускаются массово и серийно. К ним относятся акции, облигации, депозитные и сберегательные сертификаты, векселя. </w:t>
      </w:r>
    </w:p>
    <w:p w:rsidR="00A67ADA" w:rsidRDefault="00A67ADA">
      <w:r>
        <w:t xml:space="preserve">Именно эти ценные бумаги должны подвергаться, и подвергаются наиболее жесткому контролю со стороны государственных органов. Такой контроль введен с целью предотвращения злоупотреблений в отношении покупателей этих ценных бумаг. Введение такого контроля позволяет провести упорядочение выпуска банками своих ценных бумаг, особенно акций и облигаций, обеспечив необходимую степень гласности и открытости этого выпуска, а также создать равные условия всем участникам рынка для доступа к информации о выпускаемых ценных бумагах. Надежность выпускаемых ценных бумаг обеспечивается действием принципа полного предъявления, (то есть полного раскрытия всей необходимой информации эмитентом, выходящему на первичный рынок, Департаменту контроля за деятельностью банков на финансовых рынках Банка России). Если бумага попадает на вторичный рынок и обращается на бирже, то проводятся систематические уточнения кредитоспособности эмитента спустя 1, 2, 3 года после эмиссии. Общим принципом является саморегулирование институтов рынка ценных бумаг под наблюдением государственных органов. Разрабатывается и внедряется стандартизация в бухгалтерский учет, формы отчетов и балансов, процедуру полного регулирования. Высшие регулирующие органы систематически публикуют в специальных изданиях интерпретации законов и распоряжений, запретов и правил. Все регулирование направлено на создание обстановки законности, честности, открытости, гласности, защиты рынка и инвесторов от возможных махинаций и мошенничества. </w:t>
      </w:r>
    </w:p>
    <w:p w:rsidR="00A67ADA" w:rsidRDefault="00A67ADA">
      <w:r>
        <w:t xml:space="preserve">В целом процесс эмиссии строго формализован и нарушение установленного порядка приводит к ничтожности заключенных впоследствии сделок с ценными бумагами, размещенными в результате такой эмиссии. </w:t>
      </w:r>
    </w:p>
    <w:p w:rsidR="00A67ADA" w:rsidRDefault="00A67ADA">
      <w:r>
        <w:t xml:space="preserve">Говоря о рисках надо сказать, что перед банком, осознавшим необходимость привлечения финансовых средств, встает задача обеспечения наиболее полного размещения и ликвидности выпускаемых им ценных бумаг. Уровень размещения ценных бумаг в первую очередь сказывается на состоянии самого эмитента. Иными словами, степень размещения и ликвидность ценных бумаг позволяет ему увеличить спектр собственной клиентуры для расширения пассивных операций, т. к. в период сегодняшнего экономического кризиса привлечение дополнительных средств является одной из основных проблем банков. </w:t>
      </w:r>
    </w:p>
    <w:p w:rsidR="00A67ADA" w:rsidRDefault="00A67ADA">
      <w:r>
        <w:t xml:space="preserve">Целями настоящей дипломной работы является: </w:t>
      </w:r>
    </w:p>
    <w:p w:rsidR="00A67ADA" w:rsidRDefault="00A67ADA">
      <w:pPr>
        <w:pStyle w:val="a"/>
      </w:pPr>
      <w:r>
        <w:t xml:space="preserve">анализ деятельности банка, связанной с эмиссией ценных бумаг; </w:t>
      </w:r>
    </w:p>
    <w:p w:rsidR="00A67ADA" w:rsidRDefault="00A67ADA">
      <w:pPr>
        <w:pStyle w:val="a"/>
      </w:pPr>
      <w:r>
        <w:t xml:space="preserve">рассмотрение и анализ правил и процедур выпуска отдельных ценных бумаг. </w:t>
      </w:r>
    </w:p>
    <w:p w:rsidR="00A67ADA" w:rsidRDefault="00A67ADA">
      <w:r>
        <w:t xml:space="preserve">Для реализации указанных целей были поставлены следующие задачи: </w:t>
      </w:r>
    </w:p>
    <w:p w:rsidR="00A67ADA" w:rsidRDefault="00A67ADA">
      <w:pPr>
        <w:pStyle w:val="a"/>
      </w:pPr>
      <w:r>
        <w:t xml:space="preserve">сбор, систематизация и анализ теоретического материала по заданной теме; </w:t>
      </w:r>
    </w:p>
    <w:p w:rsidR="00A67ADA" w:rsidRDefault="00A67ADA">
      <w:pPr>
        <w:pStyle w:val="a"/>
      </w:pPr>
      <w:r>
        <w:t xml:space="preserve">обработка статей периодической печати. </w:t>
      </w:r>
    </w:p>
    <w:p w:rsidR="00A67ADA" w:rsidRDefault="00A67ADA">
      <w:r>
        <w:t xml:space="preserve">Актуальность выбранной мною темы заключается в том, что порядок выпуска ценных бумаг имеет большое значение при обеспечении наиболее полного и открытого для участников фондового рынка процесса выпуска и обращения ценных бумаг. </w:t>
      </w:r>
    </w:p>
    <w:p w:rsidR="00A67ADA" w:rsidRDefault="00A67ADA">
      <w:r>
        <w:t xml:space="preserve">При написании данной работы были использованы труды российских ученых, статьи периодической печати, учебные пособия. </w:t>
      </w:r>
    </w:p>
    <w:p w:rsidR="00A67ADA" w:rsidRDefault="00A67ADA">
      <w:r>
        <w:t xml:space="preserve">В ходе работы выявлены основные направления в порядке выпуска и регистрации ценных бумаг кредитными организациями на территории Российской Федерации, найдены особенности эмиссии финансовых инструментов коммерческими банками. </w:t>
      </w:r>
    </w:p>
    <w:p w:rsidR="00A67ADA" w:rsidRDefault="00A67ADA">
      <w:r>
        <w:t xml:space="preserve">Данная работа содержит три основных раздела, введение, заключение и приложения. Количество таблиц - 3, рисунков - 14. </w:t>
      </w:r>
    </w:p>
    <w:p w:rsidR="00A67ADA" w:rsidRDefault="00A67ADA">
      <w:r>
        <w:t xml:space="preserve">В первом разделе дается характеристика и классификация ценных бумаг, показано состояние российского рынка ценных бумаг и его особенности, а также роль банков на рынке ценных бумаг. </w:t>
      </w:r>
    </w:p>
    <w:p w:rsidR="00A67ADA" w:rsidRDefault="00A67ADA">
      <w:r>
        <w:t xml:space="preserve">Второй раздел подробно раскрывает процесс выпуска эмиссионных ценных бумаг банками и его документарное оформление. </w:t>
      </w:r>
    </w:p>
    <w:p w:rsidR="00A67ADA" w:rsidRDefault="00A67ADA">
      <w:r>
        <w:t xml:space="preserve">Третий раздел посвящен анализу эмиссионной деятельности Уваровского филиала АКБ "Тамбовкредитпромбанк" (ОАО) на примере выпуска банком собственных векселей. В данном разделе показано, что вексель рассматриваемого банка является наиболее выгодным инструментом для привлечения денежных средств, как для банка, так и для клиента. </w:t>
      </w:r>
    </w:p>
    <w:p w:rsidR="00A67ADA" w:rsidRDefault="00A67ADA">
      <w:pPr>
        <w:pStyle w:val="2"/>
      </w:pPr>
      <w:r>
        <w:br w:type="page"/>
      </w:r>
      <w:bookmarkStart w:id="1" w:name="_Toc218798751"/>
      <w:r>
        <w:t>1. Рынок ценных бумаг в Российской Федерации</w:t>
      </w:r>
      <w:bookmarkEnd w:id="1"/>
    </w:p>
    <w:p w:rsidR="00A67ADA" w:rsidRDefault="00A67ADA"/>
    <w:p w:rsidR="00A67ADA" w:rsidRDefault="00A67ADA">
      <w:pPr>
        <w:pStyle w:val="3"/>
      </w:pPr>
      <w:bookmarkStart w:id="2" w:name="_Toc218798752"/>
      <w:r>
        <w:t>1.1. Виды ценных бумаг и их характеристика</w:t>
      </w:r>
      <w:bookmarkEnd w:id="2"/>
      <w:r>
        <w:t xml:space="preserve"> </w:t>
      </w:r>
    </w:p>
    <w:p w:rsidR="00A67ADA" w:rsidRDefault="00A67ADA"/>
    <w:p w:rsidR="00A67ADA" w:rsidRDefault="00A67ADA">
      <w:r>
        <w:t xml:space="preserve">Эмиссионные операции – это деятельность по выпуску банком собственных ценных бумаг. </w:t>
      </w:r>
    </w:p>
    <w:p w:rsidR="00A67ADA" w:rsidRDefault="00A67ADA">
      <w:r>
        <w:t xml:space="preserve">Эмиссия ценных бумаг – это выпуск в обращение акций, облигаций и других ценных бумаг, осуществляемый как кредитными, так и другими организациями. </w:t>
      </w:r>
    </w:p>
    <w:p w:rsidR="00A67ADA" w:rsidRDefault="00A67ADA">
      <w:r>
        <w:t xml:space="preserve">Основными целями эмиссии ценных бумаг банками являются: </w:t>
      </w:r>
    </w:p>
    <w:p w:rsidR="00A67ADA" w:rsidRDefault="00A67ADA">
      <w:pPr>
        <w:pStyle w:val="a"/>
      </w:pPr>
      <w:r>
        <w:t xml:space="preserve">привлечение дополнительных денежных ресурсов для размещения их в активы банка, оптимизация структуры привлеченных денежных средств; </w:t>
      </w:r>
    </w:p>
    <w:p w:rsidR="00A67ADA" w:rsidRDefault="00A67ADA">
      <w:pPr>
        <w:pStyle w:val="a"/>
      </w:pPr>
      <w:r>
        <w:t xml:space="preserve">оформление организационно-правового статуса банка в качестве акционерного общества и формирование системы контроля через владение акциями, участие банка в органах управления; </w:t>
      </w:r>
    </w:p>
    <w:p w:rsidR="00A67ADA" w:rsidRDefault="00A67ADA">
      <w:pPr>
        <w:pStyle w:val="a"/>
      </w:pPr>
      <w:r>
        <w:t xml:space="preserve">предоставление дополнительных услуг клиентам на основе выпуска обращающихся фондовых инструментов, расширяющих возможности инвестирования в сравнении с традиционными расчетно-документарными операциями; </w:t>
      </w:r>
    </w:p>
    <w:p w:rsidR="00A67ADA" w:rsidRDefault="00A67ADA">
      <w:pPr>
        <w:pStyle w:val="a"/>
      </w:pPr>
      <w:r>
        <w:t xml:space="preserve">содействие снижению неплатежей в хозяйстве на основе организации вексельных взаиморасчетов; </w:t>
      </w:r>
    </w:p>
    <w:p w:rsidR="00A67ADA" w:rsidRDefault="00A67ADA">
      <w:r>
        <w:t xml:space="preserve">Порядок выпуска – те правила, нормативы, положения, которые регулируют весь процесс эмиссии. </w:t>
      </w:r>
    </w:p>
    <w:p w:rsidR="00A67ADA" w:rsidRDefault="00A67ADA">
      <w:r>
        <w:t xml:space="preserve">Эмиссионной ценной бумагой признается ценная бумага, отвечающая одновременно следующим требованиям: </w:t>
      </w:r>
    </w:p>
    <w:p w:rsidR="00A67ADA" w:rsidRDefault="00A67ADA">
      <w:pPr>
        <w:pStyle w:val="a"/>
      </w:pPr>
      <w:r>
        <w:t xml:space="preserve">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законом формы и порядка; </w:t>
      </w:r>
    </w:p>
    <w:p w:rsidR="00A67ADA" w:rsidRDefault="00A67ADA">
      <w:pPr>
        <w:pStyle w:val="a"/>
      </w:pPr>
      <w:r>
        <w:t xml:space="preserve">размещается выпусками; </w:t>
      </w:r>
    </w:p>
    <w:p w:rsidR="00A67ADA" w:rsidRDefault="00A67ADA">
      <w:pPr>
        <w:pStyle w:val="a"/>
      </w:pPr>
      <w:r>
        <w:t xml:space="preserve">имеет равный объем, и сроки осуществления прав внутри одного выпуска независимо от времени ее приобретения. </w:t>
      </w:r>
    </w:p>
    <w:p w:rsidR="00A67ADA" w:rsidRDefault="00A67ADA">
      <w:r>
        <w:t xml:space="preserve">Правовое регулирование порядка выпуска ценных бумаг осуществляется на основании: </w:t>
      </w:r>
    </w:p>
    <w:p w:rsidR="00A67ADA" w:rsidRDefault="00A67ADA">
      <w:pPr>
        <w:pStyle w:val="a"/>
      </w:pPr>
      <w:r>
        <w:t xml:space="preserve">Инструкции ЦБ "О правилах выпуска и регистрации ценных бумаг кредитными организациями на территории РФ" от 17.09.96 №8 (с изменениями и дополнениями); </w:t>
      </w:r>
    </w:p>
    <w:p w:rsidR="00A67ADA" w:rsidRDefault="00A67ADA">
      <w:pPr>
        <w:pStyle w:val="a"/>
      </w:pPr>
      <w:r>
        <w:t xml:space="preserve">Закона “О банках и банковской деятельности''; </w:t>
      </w:r>
    </w:p>
    <w:p w:rsidR="00A67ADA" w:rsidRDefault="00A67ADA">
      <w:pPr>
        <w:pStyle w:val="a"/>
      </w:pPr>
      <w:r>
        <w:t xml:space="preserve">Закона РФ “Об акционерных обществах''; </w:t>
      </w:r>
    </w:p>
    <w:p w:rsidR="00A67ADA" w:rsidRDefault="00A67ADA">
      <w:pPr>
        <w:pStyle w:val="a"/>
      </w:pPr>
      <w:r>
        <w:t xml:space="preserve">других нормативных актов. </w:t>
      </w:r>
    </w:p>
    <w:p w:rsidR="00A67ADA" w:rsidRDefault="00A67ADA">
      <w:r>
        <w:t xml:space="preserve">Форма эмиссионных ценных бумаг определяется эмитентом. Она может быть изменена по решению органа управления эмитента, принявшего решение о выпуске, только с согласия всех владельцев ценных бумаг данного выпуска и после регистрации такого решения в уполномоченном государственном органе. </w:t>
      </w:r>
    </w:p>
    <w:p w:rsidR="00A67ADA" w:rsidRDefault="00A67ADA">
      <w:r>
        <w:t xml:space="preserve">Процедура регистрации и выпуска в обращение ценных бумаг коммерческими банками устанавливается Инструкцией №8,, О правилах выпуска и регистрации ценных бумаг кредитными организациями на территории Российской Федерации''. </w:t>
      </w:r>
    </w:p>
    <w:p w:rsidR="00A67ADA" w:rsidRDefault="00A67ADA">
      <w:r>
        <w:t xml:space="preserve">Государственной регистрации подлежат все выпуски ценных бумаг независимо от величины выпуска и количества инвесторов. Выпуски ценных бумаг банков подлежат государственной регистрации в Департаменте контроля за деятельностью банков на финансовых рынках Банка России (далее Департамент контроля) и территориальные учреждения Банка России (Главные управления, Национальные банки). В Департаменте контроля регистрируются: </w:t>
      </w:r>
    </w:p>
    <w:p w:rsidR="00A67ADA" w:rsidRDefault="00A67ADA">
      <w:pPr>
        <w:pStyle w:val="a"/>
      </w:pPr>
      <w:r>
        <w:t xml:space="preserve">выпуски акций банков с уставным капиталом 400 млн. рублей или с долей иностранного участия - свыше 50%; </w:t>
      </w:r>
    </w:p>
    <w:p w:rsidR="00A67ADA" w:rsidRDefault="00A67ADA">
      <w:pPr>
        <w:pStyle w:val="a"/>
      </w:pPr>
      <w:r>
        <w:t xml:space="preserve">выпуски облигаций банков на сумму 100 млн. рублей и выше; </w:t>
      </w:r>
    </w:p>
    <w:p w:rsidR="00A67ADA" w:rsidRDefault="00A67ADA">
      <w:pPr>
        <w:pStyle w:val="a"/>
      </w:pPr>
      <w:r>
        <w:t xml:space="preserve">выпуски конвертируемых ценных бумаг банков; </w:t>
      </w:r>
    </w:p>
    <w:p w:rsidR="00A67ADA" w:rsidRDefault="00A67ADA">
      <w:pPr>
        <w:pStyle w:val="a"/>
      </w:pPr>
      <w:r>
        <w:t xml:space="preserve">выпуски ценных бумаг банков, предназначенных для размещения за пределами Российской Федерации, разрешенные Федеральной комиссией по рынку ценных бумаг, независимо от объема выпуска; </w:t>
      </w:r>
    </w:p>
    <w:p w:rsidR="00A67ADA" w:rsidRDefault="00A67ADA">
      <w:pPr>
        <w:pStyle w:val="a"/>
      </w:pPr>
      <w:r>
        <w:t xml:space="preserve">выпуски ценных бумаг при реорганизации банков. </w:t>
      </w:r>
    </w:p>
    <w:p w:rsidR="00A67ADA" w:rsidRDefault="00A67ADA">
      <w:r>
        <w:t xml:space="preserve">Остальные выпуски ценных бумаг банков регистрируются в территориальных учреждениях Банка России. В необходимых случаях Департамент контроля может передавать свои полномочия по регистрации выпусков ценных бумаг территориальным учреждениям Банка России по местонахождению банков-эмитентов. </w:t>
      </w:r>
    </w:p>
    <w:p w:rsidR="00A67ADA" w:rsidRDefault="00A67ADA">
      <w:r>
        <w:t xml:space="preserve">Регистрация выпусков ценных бумаг коммерческих банков в установленных случаях должна включать регистрацию проспектов эмиссии. </w:t>
      </w:r>
    </w:p>
    <w:p w:rsidR="00A67ADA" w:rsidRDefault="00A67ADA">
      <w:r>
        <w:t xml:space="preserve">Реклама ценных бумаг банков до момента государственной регистрации их выпуска запрещается. Банк-эмитент в случаях и в порядке, предусмотренных Законом Российской Федерации "О налоге на операции с ценными бумагами", обязан уплатить налог на операции с ценными бумагами. </w:t>
      </w:r>
    </w:p>
    <w:p w:rsidR="00A67ADA" w:rsidRDefault="00A67ADA">
      <w:r>
        <w:t xml:space="preserve">При изменении банком-эмитентом полного фирменного наименования и местонахождения он должен внести соответствующие изменения в регистрационные документы всех выпусков ценных бумаг, находящихся в обращении. </w:t>
      </w:r>
    </w:p>
    <w:p w:rsidR="00A67ADA" w:rsidRDefault="00A67ADA">
      <w:r>
        <w:t xml:space="preserve">После регистрации изменений в регистрационные документы банк-эмитент производит замену сертификатов ценных бумаг (при документарной форме выпуска) и обеспечивает внесение изменений в реестр владельцев именных эмиссионных ценных бумаг. </w:t>
      </w:r>
    </w:p>
    <w:p w:rsidR="00A67ADA" w:rsidRDefault="00A67ADA">
      <w:r>
        <w:t xml:space="preserve">Все выпускаемые банками акции должны быть именными. Номинальная стоимость акции банков выражается в рублях. Если акции реализуются в иностранной валюте, то, кроме рублевого номинала, на акции может указываться валютный номинал (валютная цена). </w:t>
      </w:r>
    </w:p>
    <w:p w:rsidR="00A67ADA" w:rsidRDefault="00A67ADA">
      <w:r>
        <w:t xml:space="preserve">Акции банка независимо от порядкового номера и времени выпуска должны иметь одинаковую номинальную стоимость (в рублях), если они предоставляют право голоса на собрании акционеров. </w:t>
      </w:r>
    </w:p>
    <w:p w:rsidR="00A67ADA" w:rsidRDefault="00A67ADA">
      <w:r>
        <w:t xml:space="preserve">1. Анализ интересов инвесторов, изучение спроса на финансовые продукты, выявление областей несовпадения спроса и предложения. </w:t>
      </w:r>
    </w:p>
    <w:p w:rsidR="00A67ADA" w:rsidRDefault="00A67ADA">
      <w:r>
        <w:t xml:space="preserve">2. Анализ целевых потребностей эмитента в дополнительных финансах, в росте прибылей от операций с новыми видами финансовых продуктов, в расширении рыночной ниши на рынке ценных бумаг. Определение основных ресурсных ограничений у эмитента, связанных с выпуском новых ценных бумаг. </w:t>
      </w:r>
    </w:p>
    <w:p w:rsidR="00A67ADA" w:rsidRDefault="00A67ADA">
      <w:r>
        <w:t xml:space="preserve">3. Установление наиболее общих целей: создание нового финансового продукта или модификация уже выпускаемых ценных бумаг, определение предельных параметров выпуска по объему, доходности, уровню риска и перспективам роста курсовой стоимости. </w:t>
      </w:r>
    </w:p>
    <w:p w:rsidR="00A67ADA" w:rsidRDefault="00A67ADA">
      <w:r>
        <w:t xml:space="preserve">Выбор вариантов видов ценных бумаг. </w:t>
      </w:r>
    </w:p>
    <w:p w:rsidR="00A67ADA" w:rsidRDefault="00A67ADA">
      <w:r>
        <w:t xml:space="preserve">Анализ и предварительный выбор из различных характеристик, элементов, модификаций ценных бумаг, максимально удовлетворяющих спросу инвесторов и эмитентов. Разработка черновых проектов новых финансовых продуктов. </w:t>
      </w:r>
    </w:p>
    <w:p w:rsidR="00A67ADA" w:rsidRDefault="00A67ADA">
      <w:r>
        <w:t xml:space="preserve">Оценка затрат и финансовой нагрузки на эмитента при различных вариантах выбора ценных бумаг – новых финансовых продуктов. </w:t>
      </w:r>
    </w:p>
    <w:p w:rsidR="00A67ADA" w:rsidRDefault="00A67ADA">
      <w:r>
        <w:t xml:space="preserve">Окончательный выбор и подготовка проекта выпуска ценной бумаги в модификаций, удостоверяющей спросу эмитента и инвесторов по критериям риска, доходности, ликвидности, финансовой нагрузки на эмитента и его запросов к финансовым ресурсам, привлекаемым на основе фондового выпуска. </w:t>
      </w:r>
    </w:p>
    <w:p w:rsidR="00A67ADA" w:rsidRDefault="00A67ADA">
      <w:r>
        <w:t xml:space="preserve">8. Принятие решения о выпуске ценных бумаг, решение организационных вопросов, связанных с выпуском нового финансового продукта. </w:t>
      </w:r>
    </w:p>
    <w:p w:rsidR="00A67ADA" w:rsidRDefault="00A67ADA">
      <w:r>
        <w:t xml:space="preserve">Эмиссионная ценная бумага – любая ценная бумага, в том числе бездокументарная, которая характеризуется одновременно следующими признаками: </w:t>
      </w:r>
    </w:p>
    <w:p w:rsidR="00A67ADA" w:rsidRDefault="00A67ADA">
      <w:pPr>
        <w:pStyle w:val="a"/>
      </w:pPr>
      <w:r>
        <w:t xml:space="preserve">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законом формы и порядка; </w:t>
      </w:r>
    </w:p>
    <w:p w:rsidR="00A67ADA" w:rsidRDefault="00A67ADA">
      <w:pPr>
        <w:pStyle w:val="a"/>
      </w:pPr>
      <w:r>
        <w:t xml:space="preserve">размещается выпусками; </w:t>
      </w:r>
    </w:p>
    <w:p w:rsidR="00A67ADA" w:rsidRDefault="00A67ADA">
      <w:pPr>
        <w:pStyle w:val="a"/>
      </w:pPr>
      <w:r>
        <w:t xml:space="preserve">имеет равные объем и сроки осуществления прав внутри одного выпуска вне зависимости от времени приобретения ценной бумаги. </w:t>
      </w:r>
    </w:p>
    <w:p w:rsidR="00A67ADA" w:rsidRDefault="00A67ADA">
      <w:pPr>
        <w:pStyle w:val="a"/>
      </w:pPr>
      <w:r>
        <w:t xml:space="preserve">Эмиссионные ценные бумаги могут выпускаться в одной из следующих форм: </w:t>
      </w:r>
    </w:p>
    <w:p w:rsidR="00A67ADA" w:rsidRDefault="00A67ADA">
      <w:pPr>
        <w:pStyle w:val="a"/>
      </w:pPr>
      <w:r>
        <w:t xml:space="preserve">именные ценные бумаги документарной формы выпуска; </w:t>
      </w:r>
    </w:p>
    <w:p w:rsidR="00A67ADA" w:rsidRDefault="00A67ADA">
      <w:pPr>
        <w:pStyle w:val="a"/>
      </w:pPr>
      <w:r>
        <w:t xml:space="preserve">именные ценные бумаги бездокументарной формы; </w:t>
      </w:r>
    </w:p>
    <w:p w:rsidR="00A67ADA" w:rsidRDefault="00A67ADA">
      <w:pPr>
        <w:pStyle w:val="a"/>
      </w:pPr>
      <w:r>
        <w:t xml:space="preserve">ценные бумаги на предъявителя документарной формы выпуска. </w:t>
      </w:r>
    </w:p>
    <w:p w:rsidR="00A67ADA" w:rsidRDefault="00A67ADA">
      <w:r>
        <w:t xml:space="preserve">Бездокументарная форма эмиссионных ценных бумаг – форма эмиссионных ценных бумаг при которой владелец устанавливается на основании записи в системе ведения реестра владельцев ценных бумаг или, в случае депонирования ценных бумаг, на основании записи по счету депо. </w:t>
      </w:r>
    </w:p>
    <w:p w:rsidR="00A67ADA" w:rsidRDefault="00A67ADA">
      <w:r>
        <w:t xml:space="preserve">Документарная форма эмиссионных ценных бумаг – форма эмиссионных ценных бумаг, при которой владелец устанавливается на основании предъявления оформленного надлежащим образом сертификата ценной бумаги или, на основании записи по счету депо. </w:t>
      </w:r>
    </w:p>
    <w:p w:rsidR="00A67ADA" w:rsidRDefault="00A67ADA">
      <w:r>
        <w:t xml:space="preserve">Эмиссионные ценные бумаги на предъявителя могу выпускаться только в документарной форме. </w:t>
      </w:r>
    </w:p>
    <w:p w:rsidR="00A67ADA" w:rsidRDefault="00A67ADA">
      <w:r>
        <w:t xml:space="preserve">Именные эмиссионные ценные бумаги могут выпускаться как в документарной, так и в бездокументарной форме. </w:t>
      </w:r>
    </w:p>
    <w:p w:rsidR="00A67ADA" w:rsidRDefault="00A67ADA">
      <w:r>
        <w:t xml:space="preserve">Выпуск кредитной организацией акций на предъявителя разрешается в определенном соотношении к величине оплаченного уставного капитала в соответствии с нормативом, установленным Федеральной комиссией по рынку ценных бумаг России. </w:t>
      </w:r>
    </w:p>
    <w:p w:rsidR="00A67ADA" w:rsidRDefault="00A67ADA">
      <w:r>
        <w:t xml:space="preserve">До установления Федеральной комиссией по рынку ценных бумаг России указанного норматива и определения порядка выпуска акций на предъявителя кредитным организациям запрещается осуществлять выпуск акций на предъявителя. </w:t>
      </w:r>
    </w:p>
    <w:p w:rsidR="00A67ADA" w:rsidRDefault="00A67ADA">
      <w:r>
        <w:t xml:space="preserve">Одновременный выпуск кредитной организацией акций и облигаций запрещается. </w:t>
      </w:r>
    </w:p>
    <w:p w:rsidR="00A67ADA" w:rsidRDefault="00A67ADA">
      <w:r>
        <w:t xml:space="preserve">Эмиссионные ценные бумаги на предъявителя могут выпускаться только в документарной форме. Именные эмиссионные ценные бумаги могут выпускаться как в документарной так и в бездокументарной форме. Форма эмиссионных ценных бумаг определяется эмитентом. При документарной форме эмиссионных ценных бумаг сертификат и решение о выпуске ценных бумаг являются документами, удостоверяющими права, закрепленные ценной бумагой. При бездокументарной форме – решение о выпуске ценных бумаг. </w:t>
      </w:r>
    </w:p>
    <w:p w:rsidR="00A67ADA" w:rsidRDefault="00A67ADA">
      <w:r>
        <w:t xml:space="preserve">Эмиссионная ценная бумага закрепляет имущественные права в то объеме, в котором они установлены в решении о выпуске данных ценных бумаг, и в соответствии с действующим законодательством. </w:t>
      </w:r>
    </w:p>
    <w:p w:rsidR="00A67ADA" w:rsidRDefault="00A67ADA">
      <w:r>
        <w:t xml:space="preserve">Сертификат эмиссионной ценной бумаги должны содержать следующие обязательные реквизиты: </w:t>
      </w:r>
    </w:p>
    <w:p w:rsidR="00A67ADA" w:rsidRDefault="00A67ADA">
      <w:pPr>
        <w:pStyle w:val="a"/>
      </w:pPr>
      <w:r>
        <w:t xml:space="preserve">полное наименование эмитента и его юридический адрес; </w:t>
      </w:r>
    </w:p>
    <w:p w:rsidR="00A67ADA" w:rsidRDefault="00A67ADA">
      <w:pPr>
        <w:pStyle w:val="a"/>
      </w:pPr>
      <w:r>
        <w:t xml:space="preserve">вид ценной бумаги; государственный регистрационный номер эмиссионных ценных бумаг; </w:t>
      </w:r>
    </w:p>
    <w:p w:rsidR="00A67ADA" w:rsidRDefault="00A67ADA">
      <w:pPr>
        <w:pStyle w:val="a"/>
      </w:pPr>
      <w:r>
        <w:t xml:space="preserve">порядок размещения эмиссионных ценных бумаг; </w:t>
      </w:r>
    </w:p>
    <w:p w:rsidR="00A67ADA" w:rsidRDefault="00A67ADA">
      <w:pPr>
        <w:pStyle w:val="a"/>
      </w:pPr>
      <w:r>
        <w:t xml:space="preserve">обязательство эмитента обеспечить права владельца при соблюдении владельцем требований действующего законодательства; </w:t>
      </w:r>
    </w:p>
    <w:p w:rsidR="00A67ADA" w:rsidRDefault="00A67ADA">
      <w:pPr>
        <w:pStyle w:val="a"/>
      </w:pPr>
      <w:r>
        <w:t xml:space="preserve">указание количества эмиссионных ценных бумаг, удостоверенных этим сертификатом; </w:t>
      </w:r>
    </w:p>
    <w:p w:rsidR="00A67ADA" w:rsidRDefault="00A67ADA">
      <w:pPr>
        <w:pStyle w:val="a"/>
      </w:pPr>
      <w:r>
        <w:t xml:space="preserve">указание общего количества выпущенных эмиссионных ценных бумаг с данным государственным регистрационным номером; </w:t>
      </w:r>
    </w:p>
    <w:p w:rsidR="00A67ADA" w:rsidRDefault="00A67ADA">
      <w:pPr>
        <w:pStyle w:val="a"/>
      </w:pPr>
      <w:r>
        <w:t xml:space="preserve">указание на то, выпущены ли эмиссионные ценные бумаги в документарной форме с обязательным централизованным хранением или в документарной форме без обязательного централизованного хранения; </w:t>
      </w:r>
    </w:p>
    <w:p w:rsidR="00A67ADA" w:rsidRDefault="00A67ADA">
      <w:pPr>
        <w:pStyle w:val="a"/>
      </w:pPr>
      <w:r>
        <w:t xml:space="preserve">указание на то, являются ли эмиссионные ценные бумаги именными или на предъявителя; </w:t>
      </w:r>
    </w:p>
    <w:p w:rsidR="00A67ADA" w:rsidRDefault="00A67ADA">
      <w:pPr>
        <w:pStyle w:val="a"/>
      </w:pPr>
      <w:r>
        <w:t xml:space="preserve">печать эмитента; </w:t>
      </w:r>
    </w:p>
    <w:p w:rsidR="00A67ADA" w:rsidRDefault="00A67ADA">
      <w:pPr>
        <w:pStyle w:val="a"/>
      </w:pPr>
      <w:r>
        <w:t xml:space="preserve">подписи руководителя эмитента и лица, выдавшего сертификат; </w:t>
      </w:r>
    </w:p>
    <w:p w:rsidR="00A67ADA" w:rsidRDefault="00A67ADA">
      <w:pPr>
        <w:pStyle w:val="a"/>
      </w:pPr>
      <w:r>
        <w:t xml:space="preserve">другие реквизиты, предусмотренные действующим законодательством для конкретного вида ценной бумаги. </w:t>
      </w:r>
    </w:p>
    <w:p w:rsidR="00A67ADA" w:rsidRDefault="00A67ADA">
      <w:r>
        <w:t xml:space="preserve">Обязательным реквизитам сертификатом именной эмиссионной ценной бумаги является имя (наименование) ее владельца. </w:t>
      </w:r>
    </w:p>
    <w:p w:rsidR="00A67ADA" w:rsidRDefault="00A67ADA">
      <w:r>
        <w:t xml:space="preserve">Эмиссионные ценные бумаги, выпуск которых не прошел регистрацию не подлежат размещению. К эмиссионным ценным бумагам относятся: акции, облигации. Сберегательные сертификаты, депозитные сертификаты, векселя, а также производные ценные бумаги – неэмиссионные ценные бумаги. </w:t>
      </w:r>
    </w:p>
    <w:p w:rsidR="00A67ADA" w:rsidRDefault="00A67ADA">
      <w:r>
        <w:t xml:space="preserve">Акция акционерного коммерческого банка – любая ценная бумага, удостоверяющая права ее владельца на долю в собственных средствах банка, на получение дохода от его деятельности и, как правило, на участие в управлении этим банком. Эмиссионные качество акции задаются: условиями выпуска, учредительными документами и действующим законодательством. Другими словами, они задаются эмитентом и государством. Сюда относятся обозначения выпуска, серии, номера, условии и особенности выпуска, размещения и обращения, статус акции и другие. Некоторые эмиссионные качества акции отражаются в ее обязательных реквизитах. </w:t>
      </w:r>
    </w:p>
    <w:p w:rsidR="00A67ADA" w:rsidRDefault="00A67ADA">
      <w:r>
        <w:t xml:space="preserve">Если акции могут выпускать только акционерные коммерческие банки, то право на выпуск облигаций имеют банки любой организационно – правовой формы. </w:t>
      </w:r>
    </w:p>
    <w:p w:rsidR="00A67ADA" w:rsidRDefault="00A67ADA">
      <w:r>
        <w:t xml:space="preserve">Облигация – эмиссионная ценная бумага, закрепляющая право ее держателя на получение от эмитента облигации в предусмотренный ею срок ее номинальной стоимости и зафиксированного в ней процента от этой стоимости или иного имущественного эквивалента. Облигация может предусматривать иные имущественные права ее держателя, если это не противоречит действующему законодательству. В отличие от акции доход по облигациям выплачивается до налогообложения полученной банком прибыли. Облигации выпускаются на определенный срок. Облигации могут выпускаться именные или на предъявителя, процентные или беспроцентные (целевые под товар или услуги), свободно обращающиеся или с ограниченным кругом обращения. </w:t>
      </w:r>
    </w:p>
    <w:p w:rsidR="00A67ADA" w:rsidRDefault="00A67ADA">
      <w:r>
        <w:t xml:space="preserve">Акция и облигация – это ценные бумаги, выпуск которых требует регистрации проспекта эмиссии. </w:t>
      </w:r>
    </w:p>
    <w:p w:rsidR="00A67ADA" w:rsidRDefault="00A67ADA">
      <w:r>
        <w:t xml:space="preserve">Вексель – это ценная бумага, удостоверяющая безусловное денежное обязательство векселедателя (банка) уплатить при наступлении срока определенную сумму денег владельцу векселя (векселедержателю). Векселя бывают простые и переводные. Простой вексель (соловексель) выплачивается заемщику (векселедателем) и содержит обязательство платежа кредитору (векселедержателю). </w:t>
      </w:r>
    </w:p>
    <w:p w:rsidR="00A67ADA" w:rsidRDefault="00A67ADA">
      <w:r>
        <w:t xml:space="preserve">Переводной вексель (тратта) выписывается и подписывается кредитором (трассантом) и представляет собой приказ должнику (трассату) об уплате в указанный срок обозначенной суммы третьему лицу (ремитенту) или предъявителю. </w:t>
      </w:r>
    </w:p>
    <w:p w:rsidR="00A67ADA" w:rsidRDefault="00A67ADA">
      <w:r>
        <w:t xml:space="preserve">При передаче векселя от одного собственника другому, на его оборотней стороне делается передаточная надпись, называемая индоссаментом. Посредством индоссамента, вексель может циркулировать среди неограниченного круга лиц, выполняя функции наличных денег. </w:t>
      </w:r>
    </w:p>
    <w:p w:rsidR="00A67ADA" w:rsidRDefault="00A67ADA">
      <w:r>
        <w:t xml:space="preserve">Различаются векселя срочные и по предъявлению. На срочном векселе указан срок оплаты. Вексель, на котором срок платежа не указан, рассматривается как подлежащий оплате по предъявлению. Векселя бывают казначейские, банковские, коммерческие. </w:t>
      </w:r>
    </w:p>
    <w:p w:rsidR="00A67ADA" w:rsidRDefault="00A67ADA">
      <w:r>
        <w:t xml:space="preserve">Банковский вексель может выпускаться банком или объединением банков (эмиссионный синдикат). Доход владельца векселя определяется как разница между ценой погашения, равной номиналу, и ценой продажи банковского векселя, которая ниже номинала. Преимущество банковского векселя заключается в том, что последний представляет собой средство платежа, является способом выгодно разместить капитал, имеет многократную оборачиваемость. </w:t>
      </w:r>
    </w:p>
    <w:p w:rsidR="00A67ADA" w:rsidRDefault="00A67ADA">
      <w:r>
        <w:t xml:space="preserve">Депозитные и сберегательные сертификаты выпускаются в обращение, предварительно пройдя регистрацию условий выпуска в Банке России. </w:t>
      </w:r>
    </w:p>
    <w:p w:rsidR="00A67ADA" w:rsidRDefault="00A67ADA">
      <w:r>
        <w:t xml:space="preserve">Сберегательный сертификат – это письменное свидетельство коммерческого банка о депонировании денежных средств, по истечении установленного срока депозита и процентов по нему. Сберегательные сертификаты предназначены для физических лиц-резидентов. Доходность по ним не облагается налогом, но, выдавая сертификат, банк, как правило, взимает плату с клиента за оформление бланка сертификата. </w:t>
      </w:r>
    </w:p>
    <w:p w:rsidR="00A67ADA" w:rsidRDefault="00A67ADA">
      <w:r>
        <w:t xml:space="preserve">Депозитный сертификат – это ценная бумага, представляющая собой письменное свидетельство о внесении депозита юридическим лицом и удостоверяющая право его владельца на получение по истечении установленного срока суммы депозита и процентов по нему. Иными словами, депозитные сертификаты – срочные сертификаты с крупным номиналом и в отличие от сберегательного имеют вторичный рынок обращения. Доходность по ним облагается по льготной ставке 15%, что делает их привлекательными для инвесторов. Депозитный, как и сберегательный сертификат, служит свидетельством о принятом банком вкладе на конкретный срок с указанными процентами. В принципе это тот же механизм, что и депозитный (или сберегательный) вклад, но сертификат, будучи ценной бумагой, может быть передан одним владельцем другому. Сертификаты бывают именные и на предъявителя. </w:t>
      </w:r>
    </w:p>
    <w:p w:rsidR="00A67ADA" w:rsidRDefault="00A67ADA"/>
    <w:tbl>
      <w:tblPr>
        <w:tblW w:w="8902" w:type="dxa"/>
        <w:tblInd w:w="-45" w:type="dxa"/>
        <w:tblLayout w:type="fixed"/>
        <w:tblCellMar>
          <w:left w:w="30" w:type="dxa"/>
          <w:right w:w="30" w:type="dxa"/>
        </w:tblCellMar>
        <w:tblLook w:val="0000" w:firstRow="0" w:lastRow="0" w:firstColumn="0" w:lastColumn="0" w:noHBand="0" w:noVBand="0"/>
      </w:tblPr>
      <w:tblGrid>
        <w:gridCol w:w="3149"/>
        <w:gridCol w:w="5753"/>
      </w:tblGrid>
      <w:tr w:rsidR="00A67ADA">
        <w:trPr>
          <w:trHeight w:val="290"/>
        </w:trPr>
        <w:tc>
          <w:tcPr>
            <w:tcW w:w="3149" w:type="dxa"/>
            <w:tcBorders>
              <w:top w:val="single" w:sz="12" w:space="0" w:color="auto"/>
              <w:left w:val="single" w:sz="12" w:space="0" w:color="auto"/>
              <w:bottom w:val="single" w:sz="12" w:space="0" w:color="auto"/>
              <w:right w:val="single" w:sz="12" w:space="0" w:color="auto"/>
            </w:tcBorders>
            <w:vAlign w:val="center"/>
          </w:tcPr>
          <w:p w:rsidR="00A67ADA" w:rsidRDefault="00A67ADA">
            <w:pPr>
              <w:pStyle w:val="afa"/>
              <w:rPr>
                <w:snapToGrid w:val="0"/>
              </w:rPr>
            </w:pPr>
            <w:r>
              <w:rPr>
                <w:snapToGrid w:val="0"/>
              </w:rPr>
              <w:t>Классификационный признак</w:t>
            </w:r>
          </w:p>
        </w:tc>
        <w:tc>
          <w:tcPr>
            <w:tcW w:w="5753" w:type="dxa"/>
            <w:tcBorders>
              <w:top w:val="single" w:sz="12" w:space="0" w:color="auto"/>
              <w:left w:val="single" w:sz="12" w:space="0" w:color="auto"/>
              <w:bottom w:val="single" w:sz="12" w:space="0" w:color="auto"/>
              <w:right w:val="single" w:sz="12" w:space="0" w:color="auto"/>
            </w:tcBorders>
            <w:vAlign w:val="center"/>
          </w:tcPr>
          <w:p w:rsidR="00A67ADA" w:rsidRDefault="00A67ADA">
            <w:pPr>
              <w:pStyle w:val="afa"/>
              <w:rPr>
                <w:snapToGrid w:val="0"/>
              </w:rPr>
            </w:pPr>
            <w:r>
              <w:rPr>
                <w:snapToGrid w:val="0"/>
              </w:rPr>
              <w:t>Виды ценных бумаг</w:t>
            </w:r>
          </w:p>
        </w:tc>
      </w:tr>
      <w:tr w:rsidR="00A67ADA">
        <w:trPr>
          <w:trHeight w:val="1420"/>
        </w:trPr>
        <w:tc>
          <w:tcPr>
            <w:tcW w:w="3149" w:type="dxa"/>
            <w:tcBorders>
              <w:top w:val="single" w:sz="12" w:space="0" w:color="auto"/>
              <w:left w:val="single" w:sz="12" w:space="0" w:color="auto"/>
              <w:bottom w:val="nil"/>
              <w:right w:val="single" w:sz="12" w:space="0" w:color="auto"/>
            </w:tcBorders>
          </w:tcPr>
          <w:p w:rsidR="00A67ADA" w:rsidRDefault="00A67ADA">
            <w:pPr>
              <w:pStyle w:val="afa"/>
              <w:rPr>
                <w:snapToGrid w:val="0"/>
              </w:rPr>
            </w:pPr>
            <w:r>
              <w:rPr>
                <w:snapToGrid w:val="0"/>
              </w:rPr>
              <w:t xml:space="preserve">1. Тип актива лежащего в основе бумаги (товары, деньги, капитал) </w:t>
            </w:r>
          </w:p>
        </w:tc>
        <w:tc>
          <w:tcPr>
            <w:tcW w:w="5753" w:type="dxa"/>
            <w:tcBorders>
              <w:top w:val="single" w:sz="12" w:space="0" w:color="auto"/>
              <w:left w:val="single" w:sz="12" w:space="0" w:color="auto"/>
              <w:bottom w:val="nil"/>
              <w:right w:val="single" w:sz="12" w:space="0" w:color="auto"/>
            </w:tcBorders>
          </w:tcPr>
          <w:p w:rsidR="00A67ADA" w:rsidRDefault="00A67ADA">
            <w:pPr>
              <w:pStyle w:val="afa"/>
              <w:rPr>
                <w:snapToGrid w:val="0"/>
              </w:rPr>
            </w:pPr>
            <w:r>
              <w:rPr>
                <w:snapToGrid w:val="0"/>
              </w:rPr>
              <w:t xml:space="preserve">1.1. Товарные ценные бумаги (товарный варрант, коносамент и др.) 1.2. Денежные ценные бумаги (чеки, аккредетивы) 1.3. Фондовые ценные бумаги (акции, облигации, сертификаты и др.) </w:t>
            </w:r>
          </w:p>
        </w:tc>
      </w:tr>
      <w:tr w:rsidR="00A67ADA">
        <w:trPr>
          <w:trHeight w:val="610"/>
        </w:trPr>
        <w:tc>
          <w:tcPr>
            <w:tcW w:w="3149" w:type="dxa"/>
            <w:tcBorders>
              <w:top w:val="single" w:sz="12" w:space="0" w:color="auto"/>
              <w:left w:val="single" w:sz="12" w:space="0" w:color="auto"/>
              <w:bottom w:val="nil"/>
              <w:right w:val="single" w:sz="12" w:space="0" w:color="auto"/>
            </w:tcBorders>
          </w:tcPr>
          <w:p w:rsidR="00A67ADA" w:rsidRDefault="00A67ADA">
            <w:pPr>
              <w:pStyle w:val="afa"/>
              <w:rPr>
                <w:snapToGrid w:val="0"/>
              </w:rPr>
            </w:pPr>
            <w:r>
              <w:rPr>
                <w:snapToGrid w:val="0"/>
              </w:rPr>
              <w:t>2. Форма выпуска ценной бумаги</w:t>
            </w:r>
          </w:p>
        </w:tc>
        <w:tc>
          <w:tcPr>
            <w:tcW w:w="5753" w:type="dxa"/>
            <w:tcBorders>
              <w:top w:val="single" w:sz="12" w:space="0" w:color="auto"/>
              <w:left w:val="single" w:sz="12" w:space="0" w:color="auto"/>
              <w:bottom w:val="nil"/>
              <w:right w:val="single" w:sz="12" w:space="0" w:color="auto"/>
            </w:tcBorders>
          </w:tcPr>
          <w:p w:rsidR="00A67ADA" w:rsidRDefault="00A67ADA">
            <w:pPr>
              <w:pStyle w:val="afa"/>
              <w:rPr>
                <w:snapToGrid w:val="0"/>
              </w:rPr>
            </w:pPr>
            <w:r>
              <w:rPr>
                <w:snapToGrid w:val="0"/>
              </w:rPr>
              <w:t xml:space="preserve">2.1. эмиссионные ценные бумаги (акции, облигации) 2.2. неэмиссионные ценные бумаги (сертификаты, векселя) </w:t>
            </w:r>
          </w:p>
        </w:tc>
      </w:tr>
      <w:tr w:rsidR="00A67ADA">
        <w:trPr>
          <w:trHeight w:val="58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 xml:space="preserve">3. Форма вложения средств </w:t>
            </w:r>
          </w:p>
        </w:tc>
        <w:tc>
          <w:tcPr>
            <w:tcW w:w="5753" w:type="dxa"/>
            <w:tcBorders>
              <w:top w:val="single" w:sz="12" w:space="0" w:color="auto"/>
              <w:left w:val="nil"/>
              <w:bottom w:val="single" w:sz="12" w:space="0" w:color="auto"/>
              <w:right w:val="single" w:sz="12" w:space="0" w:color="auto"/>
            </w:tcBorders>
          </w:tcPr>
          <w:p w:rsidR="00A67ADA" w:rsidRDefault="00A67ADA">
            <w:pPr>
              <w:pStyle w:val="afa"/>
              <w:rPr>
                <w:snapToGrid w:val="0"/>
              </w:rPr>
            </w:pPr>
            <w:r>
              <w:rPr>
                <w:snapToGrid w:val="0"/>
              </w:rPr>
              <w:t xml:space="preserve">3.1. долговые ценные бумаги (облигации, сертификаты) 3.2. долевые ценные бумаги (акции) </w:t>
            </w:r>
          </w:p>
        </w:tc>
      </w:tr>
      <w:tr w:rsidR="00A67ADA">
        <w:trPr>
          <w:trHeight w:val="113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 xml:space="preserve">4. Экономическая сущность </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4.1. акции 4.2. облигации 4.3. сертификаты 4.4. векселя</w:t>
            </w:r>
          </w:p>
        </w:tc>
      </w:tr>
      <w:tr w:rsidR="00A67ADA">
        <w:trPr>
          <w:trHeight w:val="57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5. Форма существования ценной бумаги</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5.1 документарные ценные бумаги 5.2 бездокументарные ценные бумаги</w:t>
            </w:r>
          </w:p>
        </w:tc>
      </w:tr>
      <w:tr w:rsidR="00A67ADA">
        <w:trPr>
          <w:trHeight w:val="57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 xml:space="preserve">6. Принадлежность прав, удостоверенных ценной бумаги </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 xml:space="preserve">6.1 именные ценные бумаги 6.2 предъявительские ценные бумаги </w:t>
            </w:r>
          </w:p>
        </w:tc>
      </w:tr>
      <w:tr w:rsidR="00A67ADA">
        <w:trPr>
          <w:trHeight w:val="57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7. Признак резидентства эмитента ценной бумаги</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7.1 отечественные ценные бумаги 7.2 иностранные ценные бумаги</w:t>
            </w:r>
          </w:p>
        </w:tc>
      </w:tr>
      <w:tr w:rsidR="00A67ADA">
        <w:trPr>
          <w:trHeight w:val="85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8. Форма собственности и вид эмитента ценной бумаги</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8.1 государственные ценные бумаги 8.2 негосударственные ценные бумаги 8.3 частные ценные бумаги</w:t>
            </w:r>
          </w:p>
        </w:tc>
      </w:tr>
      <w:tr w:rsidR="00A67ADA">
        <w:trPr>
          <w:trHeight w:val="58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9. Срок существования ценной бумаги</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9.1 бессрочные ценные бумаги 9.2 срочные ценные бумаги</w:t>
            </w:r>
          </w:p>
        </w:tc>
      </w:tr>
      <w:tr w:rsidR="00A67ADA">
        <w:trPr>
          <w:trHeight w:val="85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10. Срок обращения ценной бумаги</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 xml:space="preserve">10.1 краткосрочные ценные бумаги (до 1 года) 10.2 среднесрочные ценные бумаги (от 1 года до 5 лет) </w:t>
            </w:r>
          </w:p>
          <w:p w:rsidR="00A67ADA" w:rsidRDefault="00A67ADA">
            <w:pPr>
              <w:pStyle w:val="afa"/>
              <w:rPr>
                <w:snapToGrid w:val="0"/>
              </w:rPr>
            </w:pPr>
            <w:r>
              <w:rPr>
                <w:snapToGrid w:val="0"/>
              </w:rPr>
              <w:t xml:space="preserve">10.3 долгосрочные ценные бумаги (свыше 5 л) </w:t>
            </w:r>
          </w:p>
        </w:tc>
      </w:tr>
      <w:tr w:rsidR="00A67ADA">
        <w:trPr>
          <w:trHeight w:val="88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11. Тип использования ценной бумаги</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 xml:space="preserve">11.1. инвестиционные ценные бумаги (акции, облигации) </w:t>
            </w:r>
          </w:p>
          <w:p w:rsidR="00A67ADA" w:rsidRDefault="00A67ADA">
            <w:pPr>
              <w:pStyle w:val="afa"/>
              <w:rPr>
                <w:snapToGrid w:val="0"/>
              </w:rPr>
            </w:pPr>
            <w:r>
              <w:rPr>
                <w:snapToGrid w:val="0"/>
              </w:rPr>
              <w:t xml:space="preserve">11.2. неинвестиционные ценные бумаги (чеки, аккредитивы и др.) </w:t>
            </w:r>
          </w:p>
        </w:tc>
      </w:tr>
      <w:tr w:rsidR="00A67ADA">
        <w:trPr>
          <w:trHeight w:val="57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12. Характер обращаемости ценной бумаги</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12.1. рыночные ценные бумаги 12.2. нерыночные ценные бумаги</w:t>
            </w:r>
          </w:p>
        </w:tc>
      </w:tr>
      <w:tr w:rsidR="00A67ADA">
        <w:trPr>
          <w:trHeight w:val="57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13. Возможность отзыва ценной бумаги из обращения</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13.1. отзывные ценные бумаги 13.2. безотзывные ценные бумаги</w:t>
            </w:r>
          </w:p>
        </w:tc>
      </w:tr>
      <w:tr w:rsidR="00A67ADA">
        <w:trPr>
          <w:trHeight w:val="113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14. Возможность конвертируемости, то есть обратимость ценных бумаг одного вида на ценные бумаги другого</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14.1. конвертируемые ценные бумаги 14.2. неконвертируемые ценные бумаги</w:t>
            </w:r>
          </w:p>
        </w:tc>
      </w:tr>
      <w:tr w:rsidR="00A67ADA">
        <w:trPr>
          <w:trHeight w:val="57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br w:type="page"/>
            </w:r>
            <w:r>
              <w:rPr>
                <w:snapToGrid w:val="0"/>
              </w:rPr>
              <w:t>15. Признак доходности ценной бумаги</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15.1 ценные бумаги с фиксированным доходом 15.2 ценные бумаги с переменным доходом</w:t>
            </w:r>
          </w:p>
        </w:tc>
      </w:tr>
      <w:tr w:rsidR="00A67ADA">
        <w:trPr>
          <w:trHeight w:val="57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16. Вид выплачиваемого дохода</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16.1 процентные ценные бумаги 16.2 беспроцентные ценные бумаги</w:t>
            </w:r>
          </w:p>
        </w:tc>
      </w:tr>
      <w:tr w:rsidR="00A67ADA">
        <w:trPr>
          <w:trHeight w:val="86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17. Формы выплаты дохода</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 xml:space="preserve">17.1 купонные ценные бумаги 17.2 бескупонные ценные бумаги (ценные бумаги с нулевым купоном или дисконтные ценные бумаги) </w:t>
            </w:r>
          </w:p>
        </w:tc>
      </w:tr>
      <w:tr w:rsidR="00A67ADA">
        <w:trPr>
          <w:trHeight w:val="570"/>
        </w:trPr>
        <w:tc>
          <w:tcPr>
            <w:tcW w:w="3149"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18. Вид валюты, в которой эмитирована ценная бумага</w:t>
            </w:r>
          </w:p>
        </w:tc>
        <w:tc>
          <w:tcPr>
            <w:tcW w:w="5753"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18.1 рублевые ценные бумаги 18.2 валютные ценные бумаги</w:t>
            </w:r>
          </w:p>
        </w:tc>
      </w:tr>
    </w:tbl>
    <w:p w:rsidR="00A67ADA" w:rsidRDefault="00A67ADA">
      <w:pPr>
        <w:rPr>
          <w:snapToGrid w:val="0"/>
        </w:rPr>
      </w:pPr>
    </w:p>
    <w:p w:rsidR="00A67ADA" w:rsidRDefault="00A67ADA">
      <w:r>
        <w:rPr>
          <w:snapToGrid w:val="0"/>
        </w:rPr>
        <w:t xml:space="preserve">Рис.1. Классификация основных ценных бумаг. </w:t>
      </w:r>
    </w:p>
    <w:p w:rsidR="00A67ADA" w:rsidRDefault="00A67ADA"/>
    <w:p w:rsidR="00A67ADA" w:rsidRDefault="00A67ADA">
      <w:r>
        <w:t xml:space="preserve">Производные ценные бумаги требуют к себе особого внимания, поскольку их выпуск и обращение сопряжены со значительными рисками, прежде всего для инвесторов. К производным ценным бумагам относят: варрант, опцион, фъючерс. Все они выпускаются банками в документарной форме без специальной регистрации в Центральном Банке Российской Федерации. </w:t>
      </w:r>
    </w:p>
    <w:p w:rsidR="00A67ADA" w:rsidRDefault="00A67ADA">
      <w:r>
        <w:t xml:space="preserve">Производные ценные бумаги – это любые ценные бумаги, удостоверяющие право их владельца на покупку или продажу указанных ценных бумаг. </w:t>
      </w:r>
    </w:p>
    <w:p w:rsidR="00A67ADA" w:rsidRDefault="00A67ADA">
      <w:r>
        <w:t xml:space="preserve">Варрант – это сертификат, дающий его держателю право купить одну ценную бумагу по фиксированной цене в установленный срок. Они выпускаются банками в обращение не как самостоятельная ценная бумага, а как составная часть акции банка, чтобы сделать их более привлекательными. После выпуска варрант обычно отделяется от акции и начинает обращаться самостоятельно. </w:t>
      </w:r>
    </w:p>
    <w:p w:rsidR="00A67ADA" w:rsidRDefault="00A67ADA">
      <w:r>
        <w:t xml:space="preserve">Опцион – это договор, в соответствии с которым его держатель получает право в течение конкретного срока купить или продать по установленной цене определенное количество акций у лица, продавшего опцион. В отличие от опционов фъючерс представляет собой не право, а обязательство купли-продажи ценных бумаг. </w:t>
      </w:r>
    </w:p>
    <w:p w:rsidR="00A67ADA" w:rsidRDefault="00A67ADA">
      <w:r>
        <w:t xml:space="preserve">Фьючерс – это контракт, заключенный на бирже, предусматривающий обязательство через определенный промежуток времени или к конкретной дате. Фъючерсы в операциях с акциями банков используются реже, чем опционы, но и эти производные ценные бумаги все прочнее утверждаются на рынке банковских акций. </w:t>
      </w:r>
    </w:p>
    <w:p w:rsidR="00A67ADA" w:rsidRDefault="00A67ADA"/>
    <w:tbl>
      <w:tblPr>
        <w:tblW w:w="8919" w:type="dxa"/>
        <w:tblInd w:w="-45" w:type="dxa"/>
        <w:tblLayout w:type="fixed"/>
        <w:tblCellMar>
          <w:left w:w="30" w:type="dxa"/>
          <w:right w:w="30" w:type="dxa"/>
        </w:tblCellMar>
        <w:tblLook w:val="0000" w:firstRow="0" w:lastRow="0" w:firstColumn="0" w:lastColumn="0" w:noHBand="0" w:noVBand="0"/>
      </w:tblPr>
      <w:tblGrid>
        <w:gridCol w:w="4087"/>
        <w:gridCol w:w="4832"/>
      </w:tblGrid>
      <w:tr w:rsidR="00A67ADA">
        <w:trPr>
          <w:trHeight w:val="290"/>
        </w:trPr>
        <w:tc>
          <w:tcPr>
            <w:tcW w:w="4087"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Классификационный признак</w:t>
            </w:r>
          </w:p>
        </w:tc>
        <w:tc>
          <w:tcPr>
            <w:tcW w:w="4832" w:type="dxa"/>
            <w:tcBorders>
              <w:top w:val="single" w:sz="12" w:space="0" w:color="auto"/>
              <w:left w:val="nil"/>
              <w:bottom w:val="single" w:sz="12" w:space="0" w:color="auto"/>
              <w:right w:val="single" w:sz="12" w:space="0" w:color="auto"/>
            </w:tcBorders>
          </w:tcPr>
          <w:p w:rsidR="00A67ADA" w:rsidRDefault="00A67ADA">
            <w:pPr>
              <w:pStyle w:val="afa"/>
              <w:rPr>
                <w:snapToGrid w:val="0"/>
              </w:rPr>
            </w:pPr>
            <w:r>
              <w:rPr>
                <w:snapToGrid w:val="0"/>
              </w:rPr>
              <w:t>Виды ценных бумаг</w:t>
            </w:r>
          </w:p>
        </w:tc>
      </w:tr>
      <w:tr w:rsidR="00A67ADA">
        <w:trPr>
          <w:trHeight w:val="570"/>
        </w:trPr>
        <w:tc>
          <w:tcPr>
            <w:tcW w:w="4087"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1. экономическая сущность ценной бумаги</w:t>
            </w:r>
          </w:p>
        </w:tc>
        <w:tc>
          <w:tcPr>
            <w:tcW w:w="4832" w:type="dxa"/>
            <w:tcBorders>
              <w:top w:val="single" w:sz="12" w:space="0" w:color="auto"/>
              <w:left w:val="nil"/>
              <w:bottom w:val="single" w:sz="12" w:space="0" w:color="auto"/>
              <w:right w:val="single" w:sz="12" w:space="0" w:color="auto"/>
            </w:tcBorders>
          </w:tcPr>
          <w:p w:rsidR="00A67ADA" w:rsidRDefault="00A67ADA">
            <w:pPr>
              <w:pStyle w:val="afa"/>
              <w:rPr>
                <w:snapToGrid w:val="0"/>
              </w:rPr>
            </w:pPr>
            <w:r>
              <w:rPr>
                <w:snapToGrid w:val="0"/>
              </w:rPr>
              <w:t xml:space="preserve">1.1. фьючерсные контракты (фьючерсы) 1.2. опционные контракты (опционы) </w:t>
            </w:r>
          </w:p>
        </w:tc>
      </w:tr>
      <w:tr w:rsidR="00A67ADA">
        <w:trPr>
          <w:trHeight w:val="1130"/>
        </w:trPr>
        <w:tc>
          <w:tcPr>
            <w:tcW w:w="4087"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2. тип актива, лежащего в основе ценной бумаги</w:t>
            </w:r>
          </w:p>
        </w:tc>
        <w:tc>
          <w:tcPr>
            <w:tcW w:w="4832" w:type="dxa"/>
            <w:tcBorders>
              <w:top w:val="single" w:sz="12" w:space="0" w:color="auto"/>
              <w:left w:val="nil"/>
              <w:bottom w:val="single" w:sz="12" w:space="0" w:color="auto"/>
              <w:right w:val="single" w:sz="12" w:space="0" w:color="auto"/>
            </w:tcBorders>
          </w:tcPr>
          <w:p w:rsidR="00A67ADA" w:rsidRDefault="00A67ADA">
            <w:pPr>
              <w:pStyle w:val="afa"/>
              <w:rPr>
                <w:snapToGrid w:val="0"/>
              </w:rPr>
            </w:pPr>
            <w:r>
              <w:rPr>
                <w:snapToGrid w:val="0"/>
              </w:rPr>
              <w:t xml:space="preserve">2.1. товарные производные ценные бумаги (товарные фьючерсы) 2.2. нетоварные (фондовые) производные ценные бумаги </w:t>
            </w:r>
          </w:p>
        </w:tc>
      </w:tr>
      <w:tr w:rsidR="00A67ADA">
        <w:trPr>
          <w:trHeight w:val="2360"/>
        </w:trPr>
        <w:tc>
          <w:tcPr>
            <w:tcW w:w="4087" w:type="dxa"/>
            <w:tcBorders>
              <w:top w:val="single" w:sz="12" w:space="0" w:color="auto"/>
              <w:left w:val="single" w:sz="12" w:space="0" w:color="auto"/>
              <w:bottom w:val="single" w:sz="12" w:space="0" w:color="auto"/>
              <w:right w:val="single" w:sz="12" w:space="0" w:color="auto"/>
            </w:tcBorders>
          </w:tcPr>
          <w:p w:rsidR="00A67ADA" w:rsidRDefault="00A67ADA">
            <w:pPr>
              <w:pStyle w:val="afa"/>
              <w:rPr>
                <w:snapToGrid w:val="0"/>
              </w:rPr>
            </w:pPr>
            <w:r>
              <w:rPr>
                <w:snapToGrid w:val="0"/>
              </w:rPr>
              <w:t xml:space="preserve">3. вид финансового актива, лежащего в основе ценной бумаги </w:t>
            </w:r>
          </w:p>
        </w:tc>
        <w:tc>
          <w:tcPr>
            <w:tcW w:w="4832" w:type="dxa"/>
            <w:tcBorders>
              <w:top w:val="single" w:sz="12" w:space="0" w:color="auto"/>
              <w:left w:val="nil"/>
              <w:bottom w:val="single" w:sz="12" w:space="0" w:color="auto"/>
              <w:right w:val="single" w:sz="12" w:space="0" w:color="auto"/>
            </w:tcBorders>
          </w:tcPr>
          <w:p w:rsidR="00A67ADA" w:rsidRDefault="00A67ADA">
            <w:pPr>
              <w:pStyle w:val="afa"/>
              <w:rPr>
                <w:snapToGrid w:val="0"/>
              </w:rPr>
            </w:pPr>
            <w:r>
              <w:rPr>
                <w:snapToGrid w:val="0"/>
              </w:rPr>
              <w:t xml:space="preserve">3.1. валютные производные ценные бумаги (валютные фьючерсы, опционы) 3.2. процентные производные ценные бумаги (процентные фьючерсы, опционы) 3.3. производные ценные бумаги на фондовые индексы (опцион на индекс) 3.4. производные ценные бумаги на фьючерсные контракты (опционы на валютный фьючерс) </w:t>
            </w:r>
          </w:p>
        </w:tc>
      </w:tr>
      <w:tr w:rsidR="00A67ADA">
        <w:trPr>
          <w:trHeight w:val="570"/>
        </w:trPr>
        <w:tc>
          <w:tcPr>
            <w:tcW w:w="4087" w:type="dxa"/>
            <w:tcBorders>
              <w:top w:val="nil"/>
              <w:left w:val="single" w:sz="12" w:space="0" w:color="auto"/>
              <w:bottom w:val="single" w:sz="12" w:space="0" w:color="auto"/>
              <w:right w:val="single" w:sz="12" w:space="0" w:color="auto"/>
            </w:tcBorders>
          </w:tcPr>
          <w:p w:rsidR="00A67ADA" w:rsidRDefault="00A67ADA">
            <w:pPr>
              <w:pStyle w:val="afa"/>
              <w:rPr>
                <w:snapToGrid w:val="0"/>
              </w:rPr>
            </w:pPr>
            <w:r>
              <w:rPr>
                <w:snapToGrid w:val="0"/>
              </w:rPr>
              <w:t>4. Сроки обращения финансового актива</w:t>
            </w:r>
          </w:p>
        </w:tc>
        <w:tc>
          <w:tcPr>
            <w:tcW w:w="4832" w:type="dxa"/>
            <w:tcBorders>
              <w:top w:val="nil"/>
              <w:left w:val="nil"/>
              <w:bottom w:val="single" w:sz="12" w:space="0" w:color="auto"/>
              <w:right w:val="single" w:sz="12" w:space="0" w:color="auto"/>
            </w:tcBorders>
          </w:tcPr>
          <w:p w:rsidR="00A67ADA" w:rsidRDefault="00A67ADA">
            <w:pPr>
              <w:pStyle w:val="afa"/>
              <w:rPr>
                <w:snapToGrid w:val="0"/>
              </w:rPr>
            </w:pPr>
            <w:r>
              <w:rPr>
                <w:snapToGrid w:val="0"/>
              </w:rPr>
              <w:t>4.1. краткосрочные производные ценные бумаги 4.2. долгосрочные производные ценные бумаги</w:t>
            </w:r>
          </w:p>
        </w:tc>
      </w:tr>
    </w:tbl>
    <w:p w:rsidR="00A67ADA" w:rsidRDefault="00A67ADA"/>
    <w:p w:rsidR="00A67ADA" w:rsidRDefault="00A67ADA">
      <w:r>
        <w:t xml:space="preserve">Рис.2. </w:t>
      </w:r>
      <w:r>
        <w:rPr>
          <w:snapToGrid w:val="0"/>
        </w:rPr>
        <w:t xml:space="preserve">Классификация производных ценных бумаг. </w:t>
      </w:r>
    </w:p>
    <w:p w:rsidR="00A67ADA" w:rsidRDefault="00A67ADA"/>
    <w:p w:rsidR="00A67ADA" w:rsidRDefault="00A67ADA">
      <w:pPr>
        <w:pStyle w:val="3"/>
      </w:pPr>
      <w:bookmarkStart w:id="3" w:name="_Toc218798753"/>
      <w:r>
        <w:t>1.2. Организация российского рынка ценных бумаг</w:t>
      </w:r>
      <w:bookmarkEnd w:id="3"/>
    </w:p>
    <w:p w:rsidR="00A67ADA" w:rsidRDefault="00A67ADA"/>
    <w:p w:rsidR="00A67ADA" w:rsidRDefault="00A67ADA">
      <w:r>
        <w:t xml:space="preserve">В России выбрана смешанная модель фондового рынка, на котором одновременно и с равными правами присутствуют и коммерческие банки, имеющие все права на операции с ценными бумагами, и небанковские инвестиционные институты. Рынок ценных бумаг в России – это молодой, динамичный рынок с быстро нарастающими объемами операций, с все более изощренными финансовыми инструментами и диверсифицированной регулятивной и информационной структурой. </w:t>
      </w:r>
    </w:p>
    <w:p w:rsidR="00A67ADA" w:rsidRDefault="00A67ADA">
      <w:r>
        <w:t xml:space="preserve">Современный российский фондовый рынок можно охарактеризовать по следующим параметрам: участниками рынка являются около 2400 коммерческих банков, Центральный банк РФ (около 90 территориальных управлений), Сберегательный банк (42000 территориальных банков, отделений, филиалов), 60 фондовых бирж, 660 институциональных фондов, более 550 негосударственных пенсионных фондов, более 3000 страховых компаний. Объемы рынка: акции преобразованных в открытые акционерные общества государственных предприятий (около 800-900 млн. руб), акции и облигации банков (более 2 млрд. руб.), акции вновь создаваемых акционерных обществ (75-76 млрд. руб.), акции банков и предприятий (50-60 млрд. руб.). </w:t>
      </w:r>
    </w:p>
    <w:p w:rsidR="00A67ADA" w:rsidRDefault="00A67ADA">
      <w:r>
        <w:t xml:space="preserve">Российский фондовый рынок характеризуется: </w:t>
      </w:r>
    </w:p>
    <w:p w:rsidR="00A67ADA" w:rsidRDefault="00A67ADA">
      <w:pPr>
        <w:pStyle w:val="a"/>
      </w:pPr>
      <w:r>
        <w:t xml:space="preserve">небольшими объемами и неликвидностью; </w:t>
      </w:r>
    </w:p>
    <w:p w:rsidR="00A67ADA" w:rsidRDefault="00A67ADA">
      <w:pPr>
        <w:pStyle w:val="a"/>
      </w:pPr>
      <w:r>
        <w:t xml:space="preserve">"неоформленностью" в макроэкономическом смысле (неизвестно соотношение сил на фондовом рынке и т.п.); </w:t>
      </w:r>
    </w:p>
    <w:p w:rsidR="00A67ADA" w:rsidRDefault="00A67ADA">
      <w:pPr>
        <w:pStyle w:val="a"/>
      </w:pPr>
      <w:r>
        <w:t xml:space="preserve">неразвитостью материальной базы, технологий торговли, регулятивной и информационной инфраструктуры; </w:t>
      </w:r>
    </w:p>
    <w:p w:rsidR="00A67ADA" w:rsidRDefault="00A67ADA">
      <w:pPr>
        <w:pStyle w:val="a"/>
      </w:pPr>
      <w:r>
        <w:t xml:space="preserve">раздробленной системой государственного регулирования; </w:t>
      </w:r>
    </w:p>
    <w:p w:rsidR="00A67ADA" w:rsidRDefault="00A67ADA">
      <w:pPr>
        <w:pStyle w:val="a"/>
      </w:pPr>
      <w:r>
        <w:t xml:space="preserve">отсутствием государственной долгосрочной политики формирования рынка ценных бумаг; </w:t>
      </w:r>
    </w:p>
    <w:p w:rsidR="00A67ADA" w:rsidRDefault="00A67ADA">
      <w:pPr>
        <w:pStyle w:val="a"/>
      </w:pPr>
      <w:r>
        <w:t xml:space="preserve">высокой степенью всех рисков, связанных с ценными бумагами; </w:t>
      </w:r>
    </w:p>
    <w:p w:rsidR="00A67ADA" w:rsidRDefault="00A67ADA">
      <w:pPr>
        <w:pStyle w:val="a"/>
      </w:pPr>
      <w:r>
        <w:t xml:space="preserve">значительными масштабами грюндерства, т.е. агрессивной политикой учреждения нежизнеспособных компаний; </w:t>
      </w:r>
    </w:p>
    <w:p w:rsidR="00A67ADA" w:rsidRDefault="00A67ADA">
      <w:pPr>
        <w:pStyle w:val="a"/>
      </w:pPr>
      <w:r>
        <w:t xml:space="preserve">крайней нестабильностью в движениях курсов акций и низкими инвестиционными качествами ценных бумаг; </w:t>
      </w:r>
    </w:p>
    <w:p w:rsidR="00A67ADA" w:rsidRDefault="00A67ADA">
      <w:pPr>
        <w:pStyle w:val="a"/>
      </w:pPr>
      <w:r>
        <w:t xml:space="preserve">отсутствием открытого доступа к макро - и микроэкономической информации о состоянии фондового рынка; </w:t>
      </w:r>
    </w:p>
    <w:p w:rsidR="00A67ADA" w:rsidRDefault="00A67ADA">
      <w:pPr>
        <w:pStyle w:val="a"/>
      </w:pPr>
      <w:r>
        <w:t xml:space="preserve">инвестиционным кризисом; </w:t>
      </w:r>
    </w:p>
    <w:p w:rsidR="00A67ADA" w:rsidRDefault="00A67ADA">
      <w:pPr>
        <w:pStyle w:val="a"/>
      </w:pPr>
      <w:r>
        <w:t xml:space="preserve">отсутствием обученного персонала и крупных, заслуживших общественное доверие инвестиционных институтов; </w:t>
      </w:r>
    </w:p>
    <w:p w:rsidR="00A67ADA" w:rsidRDefault="00A67ADA">
      <w:pPr>
        <w:pStyle w:val="a"/>
      </w:pPr>
      <w:r>
        <w:t xml:space="preserve">агрессивностью и острой конкуренцией при отсутствии традиций деловой этики; </w:t>
      </w:r>
    </w:p>
    <w:p w:rsidR="00A67ADA" w:rsidRDefault="00A67ADA">
      <w:pPr>
        <w:pStyle w:val="a"/>
      </w:pPr>
      <w:r>
        <w:t xml:space="preserve">высокой долей спекулятивного оборота; </w:t>
      </w:r>
    </w:p>
    <w:p w:rsidR="00A67ADA" w:rsidRDefault="00A67ADA">
      <w:pPr>
        <w:pStyle w:val="a"/>
      </w:pPr>
      <w:r>
        <w:t xml:space="preserve">расширением рынка государственных долговых обязательств и спроса государства на деньги, что сокращает производительные инвестиции в ценные бумаги. </w:t>
      </w:r>
    </w:p>
    <w:p w:rsidR="00A67ADA" w:rsidRDefault="00A67ADA">
      <w:r>
        <w:t xml:space="preserve">Несмотря на все отрицательные характеристики, современный российский фондовый рынок – это динамичный рынок, развивающийся на основе: масштабной приватизации и связанного с ней массового выпуска ценных бумаг; быстро расширяющейся практики покрытия дефицитов федерального и местного бюджетов за счет выпуска долговых ценных бумаг; объявления первых крупных инвестиционных проектов производственного характера; расширяющегося выпуска предприятиями и регионами облигационных займов; быстрого улучшения технологической базы рынка; открывшегося доступа на международные рынки капитала; быстрого становления масштабной сети институтов – профессиональных участников рынка ценных бумаг и других факторов. </w:t>
      </w:r>
    </w:p>
    <w:p w:rsidR="00A67ADA" w:rsidRDefault="00A67ADA">
      <w:r>
        <w:t xml:space="preserve">Формирование фондового рынка в России повлекло за собой возникновение, связанных с этим процессом, многочисленных проблем, преодоление которых необходимо для дальнейшего успешного развития и функционирования рынка ценных бумаг. </w:t>
      </w:r>
    </w:p>
    <w:p w:rsidR="00A67ADA" w:rsidRDefault="00A67ADA">
      <w:r>
        <w:t xml:space="preserve">В данном разрезе возможно выделить следующие ключевые проблемы развития российского фондового рынка, которые требуют первоочередного решения. </w:t>
      </w:r>
    </w:p>
    <w:p w:rsidR="00A67ADA" w:rsidRDefault="00A67ADA">
      <w:r>
        <w:t xml:space="preserve">Преодоление негативно влияющих внешних факторов, т.е. хозяйственного кризиса, политической и социальной нестабильности. </w:t>
      </w:r>
    </w:p>
    <w:p w:rsidR="00A67ADA" w:rsidRDefault="00A67ADA">
      <w:r>
        <w:t xml:space="preserve">Целевая переориентация рынка ценных бумаг с первоочередного обслуживания финансовых запросов государства и перераспределения крупных пакетов акций на выполнение своей главной функции – направление свободных денежных ресурсов на цели восстановления и развития производства в России. </w:t>
      </w:r>
    </w:p>
    <w:p w:rsidR="00A67ADA" w:rsidRDefault="00A67ADA">
      <w:r>
        <w:t>Улучшение качественных характеристик рынка.</w:t>
      </w:r>
    </w:p>
    <w:p w:rsidR="00A67ADA" w:rsidRDefault="00A67ADA">
      <w:r>
        <w:t>Повышение роли государства на фондовом рынке.</w:t>
      </w:r>
    </w:p>
    <w:p w:rsidR="00A67ADA" w:rsidRDefault="00A67ADA">
      <w:r>
        <w:t xml:space="preserve">Проблема защиты инвесторов, которая может быть решена созданием государственной или полугосударственной системы защиты инвесторов в ценные бумаги от потерь. </w:t>
      </w:r>
    </w:p>
    <w:p w:rsidR="00A67ADA" w:rsidRDefault="00A67ADA">
      <w:r>
        <w:t xml:space="preserve">Опережающее создание депозитарной и клиринговой сети, агентской сети для регистрации движения ценных бумаг в интересах эмитентов. </w:t>
      </w:r>
    </w:p>
    <w:p w:rsidR="00A67ADA" w:rsidRDefault="00A67ADA">
      <w:r>
        <w:t xml:space="preserve">Наращивание объемов и переход в категорию классифицируемых рынков ценных бумаг. </w:t>
      </w:r>
    </w:p>
    <w:p w:rsidR="00A67ADA" w:rsidRDefault="00A67ADA">
      <w:r>
        <w:t xml:space="preserve">Стихийно в России выбрана смешанная, промежуточная модель фондового рынка, на котором одновременно и с равными правами присутствуют и коммерческие банки, имеющие все права на операции с ценными бумагами, и небанковские инвестиционные институты. </w:t>
      </w:r>
    </w:p>
    <w:p w:rsidR="00A67ADA" w:rsidRDefault="00A67ADA">
      <w:r>
        <w:t xml:space="preserve">В российской практике по существу выбрана европейская модель универсального коммерческого банка, имеющего глубокие ограничения на операции с ценными бумагами. </w:t>
      </w:r>
    </w:p>
    <w:p w:rsidR="00A67ADA" w:rsidRDefault="00A67ADA">
      <w:r>
        <w:t xml:space="preserve">Это – модель агрессивного банка, имеющего крупные портфели акций нефинансовых предприятий, окруженного различными небанковскими финансовыми институтами и осуществляющего реальный контроль за их деятельностью. </w:t>
      </w:r>
    </w:p>
    <w:p w:rsidR="00A67ADA" w:rsidRDefault="00A67ADA">
      <w:r>
        <w:t xml:space="preserve">В данной модели существенно повышена рискованность операций банка. Его риски по операциям с ценными бумагами не ограничены от рисков по кредитно-депозитной и расчетной деятельности. </w:t>
      </w:r>
    </w:p>
    <w:p w:rsidR="00A67ADA" w:rsidRDefault="00A67ADA">
      <w:r>
        <w:t xml:space="preserve">Рынок ценных бумаг в России – это рынок с еще не сформировавшейся концепцией, моделью, лежащей в основе его развития; остроконкурентный рынок, на котором и в ближайшей, и в отдаленной перспективе будет разворачиваться ожесточенная конкуренция между банками и небанковскими институтами. </w:t>
      </w:r>
    </w:p>
    <w:p w:rsidR="00A67ADA" w:rsidRDefault="00A67ADA"/>
    <w:p w:rsidR="00A67ADA" w:rsidRDefault="00D51441">
      <w:r>
        <w:rPr>
          <w:noProof/>
        </w:rPr>
        <w:pict>
          <v:group id="_x0000_s1026" style="position:absolute;left:0;text-align:left;margin-left:3.65pt;margin-top:8.8pt;width:459pt;height:208.75pt;z-index:251655168" coordorigin="1768,1316" coordsize="9180,4175">
            <v:group id="_x0000_s1027" style="position:absolute;left:1869;top:1316;width:9072;height:1618;mso-position-vertical-relative:page" coordorigin="1668,14790" coordsize="9072,1618">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left:1668;top:15400;width:3960;height:1008" adj="14269,-7843" fillcolor="silver" strokeweight="2pt">
                <v:shadow on="t" type="double" color2="shadow add(102)" offset="-3pt,-3pt" offset2="-6pt,-6pt"/>
                <v:textbox style="mso-next-textbox:#_x0000_s1028" inset="1mm,1mm,1mm,1mm">
                  <w:txbxContent>
                    <w:p w:rsidR="00A67ADA" w:rsidRDefault="00A67ADA">
                      <w:pPr>
                        <w:pStyle w:val="afa"/>
                      </w:pPr>
                      <w:r>
                        <w:t>РЫНОК ОСНОВНЫХ             ЦЕННЫХ БУМАГ</w:t>
                      </w:r>
                    </w:p>
                  </w:txbxContent>
                </v:textbox>
              </v:shape>
              <v:shape id="_x0000_s1029" type="#_x0000_t63" style="position:absolute;left:5988;top:15400;width:4752;height:1008" adj="6550,-8014" fillcolor="silver" strokeweight="2pt">
                <v:shadow on="t" type="double" color2="shadow add(102)" offset="-3pt,-3pt" offset2="-6pt,-6pt"/>
                <v:textbox style="mso-next-textbox:#_x0000_s1029" inset="0,1mm,1mm,1mm">
                  <w:txbxContent>
                    <w:p w:rsidR="00A67ADA" w:rsidRDefault="00A67ADA">
                      <w:pPr>
                        <w:pStyle w:val="afa"/>
                      </w:pPr>
                      <w:r>
                        <w:t>РЫНОК ПРОИЗВОДНЫХ ЦЕННЫХ БУМАГ</w:t>
                      </w:r>
                    </w:p>
                  </w:txbxContent>
                </v:textbox>
              </v:shape>
              <v:oval id="_x0000_s1030" style="position:absolute;left:2388;top:14790;width:7488;height:720" fillcolor="black" strokeweight="2pt">
                <v:shadow on="t" type="double" color2="shadow add(102)" offset="-3pt,-3pt" offset2="-6pt,-6pt"/>
                <v:textbox style="mso-next-textbox:#_x0000_s1030">
                  <w:txbxContent>
                    <w:p w:rsidR="00A67ADA" w:rsidRDefault="00A67ADA">
                      <w:pPr>
                        <w:pStyle w:val="1"/>
                        <w:jc w:val="left"/>
                        <w:rPr>
                          <w:rFonts w:ascii="Tahoma" w:hAnsi="Tahoma" w:cs="Tahoma"/>
                          <w:color w:val="FFFFFF"/>
                          <w:sz w:val="36"/>
                          <w:szCs w:val="36"/>
                        </w:rPr>
                      </w:pPr>
                      <w:r>
                        <w:rPr>
                          <w:rFonts w:ascii="Tahoma" w:hAnsi="Tahoma" w:cs="Tahoma"/>
                          <w:color w:val="FFFFFF"/>
                          <w:sz w:val="36"/>
                          <w:szCs w:val="36"/>
                        </w:rPr>
                        <w:t>РЫНОК ЦЕННЫХ БУМАГ</w:t>
                      </w:r>
                    </w:p>
                  </w:txbxContent>
                </v:textbox>
              </v:oval>
            </v:group>
            <v:group id="_x0000_s1031" style="position:absolute;left:1768;top:3500;width:9180;height:1991" coordorigin="1968,5884" coordsize="9180,1991">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2" type="#_x0000_t61" style="position:absolute;left:2187;top:5955;width:1401;height:1440" adj="9825,-7065" strokeweight="2pt">
                <v:shadow on="t" type="double" color2="shadow add(102)" offset="-3pt,-3pt" offset2="-6pt,-6pt"/>
                <v:textbox style="mso-next-textbox:#_x0000_s1032" inset="1mm,1mm,1mm,1mm">
                  <w:txbxContent>
                    <w:p w:rsidR="00A67ADA" w:rsidRDefault="00A67ADA">
                      <w:pPr>
                        <w:pStyle w:val="afa"/>
                      </w:pPr>
                      <w:r>
                        <w:t>РЫНОК ТОВАРНЫХ ОСНОВНЫХ ЦЕННЫХ БУМАГ</w:t>
                      </w:r>
                    </w:p>
                  </w:txbxContent>
                </v:textbox>
              </v:shape>
              <v:shape id="_x0000_s1033" type="#_x0000_t61" style="position:absolute;left:3768;top:5944;width:1440;height:1440" adj="5918,-5730" strokeweight="2pt">
                <v:shadow on="t" type="double" color2="shadow add(102)" offset="-3pt,-3pt" offset2="-6pt,-6pt"/>
                <v:textbox style="mso-next-textbox:#_x0000_s1033" inset="1mm,1mm,1mm,1mm">
                  <w:txbxContent>
                    <w:p w:rsidR="00A67ADA" w:rsidRDefault="00A67ADA">
                      <w:pPr>
                        <w:pStyle w:val="afa"/>
                      </w:pPr>
                      <w:r>
                        <w:t>РЫНОК ДЕНЕЖНЫХ ОСНОВНЫХ ЦЕННЫХ БУМАГ</w:t>
                      </w:r>
                    </w:p>
                  </w:txbxContent>
                </v:textbox>
              </v:shape>
              <v:shape id="_x0000_s1034" type="#_x0000_t61" style="position:absolute;left:9348;top:5944;width:1800;height:1440" adj="11716,-7050" strokeweight="2pt">
                <v:shadow on="t" type="double" color2="shadow add(102)" offset="-3pt,-3pt" offset2="-6pt,-6pt"/>
                <v:textbox style="mso-next-textbox:#_x0000_s1034" inset="1mm,1mm,1mm,1mm">
                  <w:txbxContent>
                    <w:p w:rsidR="00A67ADA" w:rsidRDefault="00A67ADA">
                      <w:pPr>
                        <w:pStyle w:val="afa"/>
                      </w:pPr>
                      <w:r>
                        <w:t>РЫНОК ТОВАРНЫХ ПРОИЗВОДНЫХ ЦЕННЫХ БУМАГ</w:t>
                      </w:r>
                    </w:p>
                  </w:txbxContent>
                </v:textbox>
              </v:shape>
              <v:shape id="_x0000_s1035" type="#_x0000_t61" style="position:absolute;left:5388;top:5944;width:1728;height:1440" adj="-950,-5730" strokeweight="2pt">
                <v:shadow on="t" type="double" color2="shadow add(102)" offset="-3pt,-3pt" offset2="-6pt,-6pt"/>
                <v:textbox style="mso-next-textbox:#_x0000_s1035">
                  <w:txbxContent>
                    <w:p w:rsidR="00A67ADA" w:rsidRDefault="00A67ADA">
                      <w:pPr>
                        <w:jc w:val="center"/>
                        <w:rPr>
                          <w:rFonts w:ascii="Tahoma" w:hAnsi="Tahoma" w:cs="Tahoma"/>
                          <w:b/>
                          <w:bCs/>
                        </w:rPr>
                      </w:pPr>
                      <w:r>
                        <w:rPr>
                          <w:rFonts w:ascii="Tahoma" w:hAnsi="Tahoma" w:cs="Tahoma"/>
                          <w:b/>
                          <w:bCs/>
                        </w:rPr>
                        <w:t>РЫНОК ФОНДОВЫХ ФОНДОВЫХЦЕННЫХ БУМАГ</w:t>
                      </w:r>
                    </w:p>
                    <w:p w:rsidR="00A67ADA" w:rsidRDefault="00A67ADA"/>
                  </w:txbxContent>
                </v:textbox>
              </v:shape>
              <v:shape id="_x0000_s1036" type="#_x0000_t61" style="position:absolute;left:7368;top:5944;width:1800;height:1440" adj="12686,-5220" strokeweight="2pt">
                <v:shadow on="t" type="double" color2="shadow add(102)" offset="-3pt,-3pt" offset2="-6pt,-6pt"/>
                <v:textbox style="mso-next-textbox:#_x0000_s1036" inset="1mm,1mm,1mm,1mm">
                  <w:txbxContent>
                    <w:p w:rsidR="00A67ADA" w:rsidRDefault="00A67ADA">
                      <w:pPr>
                        <w:jc w:val="center"/>
                        <w:rPr>
                          <w:rFonts w:ascii="Tahoma" w:hAnsi="Tahoma" w:cs="Tahoma"/>
                          <w:b/>
                          <w:bCs/>
                        </w:rPr>
                      </w:pPr>
                      <w:r>
                        <w:rPr>
                          <w:rFonts w:ascii="Tahoma" w:hAnsi="Tahoma" w:cs="Tahoma"/>
                          <w:b/>
                          <w:bCs/>
                        </w:rPr>
                        <w:t>РЫНОК ФОНДОВЫХ ПРОИЗВОДНЫХ ЦЕННЫХ БУМАГ</w:t>
                      </w:r>
                    </w:p>
                  </w:txbxContent>
                </v:textbox>
              </v:shape>
              <v:shape id="_x0000_s1037" type="#_x0000_t63" style="position:absolute;left:3228;top:5884;width:6768;height:720" adj="10787,21780" fillcolor="black" strokeweight="1.5pt">
                <v:shadow on="t" type="double" color2="shadow add(102)" offset="-3pt,-3pt" offset2="-6pt,-6pt"/>
                <v:textbox style="mso-next-textbox:#_x0000_s1037" inset="1mm,1mm,1mm,1mm">
                  <w:txbxContent>
                    <w:p w:rsidR="00A67ADA" w:rsidRDefault="00A67ADA">
                      <w:pPr>
                        <w:pStyle w:val="2"/>
                        <w:rPr>
                          <w:b w:val="0"/>
                          <w:bCs w:val="0"/>
                          <w:i w:val="0"/>
                          <w:iCs w:val="0"/>
                          <w:color w:val="FFFFFF"/>
                          <w:sz w:val="36"/>
                          <w:szCs w:val="36"/>
                        </w:rPr>
                      </w:pPr>
                      <w:r>
                        <w:rPr>
                          <w:b w:val="0"/>
                          <w:bCs w:val="0"/>
                          <w:i w:val="0"/>
                          <w:iCs w:val="0"/>
                          <w:color w:val="FFFFFF"/>
                          <w:sz w:val="36"/>
                          <w:szCs w:val="36"/>
                        </w:rPr>
                        <w:t>ФОНДОВЫЙ РЫНОК</w:t>
                      </w:r>
                    </w:p>
                  </w:txbxContent>
                </v:textbox>
              </v:shape>
              <v:shape id="_x0000_s1038" type="#_x0000_t61" style="position:absolute;left:7368;top:5944;width:1800;height:1440" adj="-450,29430" filled="f" strokeweight="2pt">
                <v:fill opacity=".5"/>
                <v:shadow type="double" color2="shadow add(102)" offset="-3pt,-3pt" offset2="-6pt,-6pt"/>
                <v:textbox style="mso-next-textbox:#_x0000_s1038">
                  <w:txbxContent>
                    <w:p w:rsidR="00A67ADA" w:rsidRDefault="00A67ADA">
                      <w:pPr>
                        <w:pStyle w:val="afa"/>
                      </w:pPr>
                    </w:p>
                  </w:txbxContent>
                </v:textbox>
              </v:shape>
              <v:shape id="_x0000_s1039" type="#_x0000_t61" style="position:absolute;left:5388;top:5944;width:1728;height:1440" adj="9513,29190" filled="f" strokeweight="2pt">
                <v:textbox style="mso-next-textbox:#_x0000_s1039">
                  <w:txbxContent>
                    <w:p w:rsidR="00A67ADA" w:rsidRDefault="00A67ADA">
                      <w:pPr>
                        <w:pStyle w:val="afa"/>
                      </w:pPr>
                    </w:p>
                  </w:txbxContent>
                </v:textbox>
              </v:shape>
              <v:line id="_x0000_s1040" style="position:absolute" from="4488,7407" to="5028,7407" strokeweight="3.25pt"/>
              <v:line id="_x0000_s1041" style="position:absolute" from="7908,7407" to="8628,7407" strokeweight="3.75pt"/>
              <v:shapetype id="_x0000_t109" coordsize="21600,21600" o:spt="109" path="m,l,21600r21600,l21600,xe">
                <v:stroke joinstyle="miter"/>
                <v:path gradientshapeok="t" o:connecttype="rect"/>
              </v:shapetype>
              <v:shape id="_x0000_s1042" type="#_x0000_t109" style="position:absolute;left:1968;top:6867;width:2520;height:1008" fillcolor="silver" strokeweight="1.5pt">
                <v:shadow on="t" type="double" color2="shadow add(102)" offset="-3pt,-3pt" offset2="-6pt,-6pt"/>
                <v:textbox style="mso-next-textbox:#_x0000_s1042">
                  <w:txbxContent>
                    <w:p w:rsidR="00A67ADA" w:rsidRDefault="00A67ADA">
                      <w:pPr>
                        <w:pStyle w:val="afa"/>
                      </w:pPr>
                      <w:r>
                        <w:t>ВАЛЮТНЫЙ РЫНОК</w:t>
                      </w:r>
                    </w:p>
                  </w:txbxContent>
                </v:textbox>
              </v:shape>
              <v:rect id="_x0000_s1043" style="position:absolute;left:5028;top:6867;width:2880;height:1008" fillcolor="silver" strokeweight="1.5pt">
                <v:shadow on="t" type="double" color2="shadow add(102)" offset="-3pt,-3pt" offset2="-6pt,-6pt"/>
                <v:textbox style="mso-next-textbox:#_x0000_s1043">
                  <w:txbxContent>
                    <w:p w:rsidR="00A67ADA" w:rsidRDefault="00A67ADA">
                      <w:pPr>
                        <w:pStyle w:val="afa"/>
                      </w:pPr>
                      <w:r>
                        <w:t>ФИНАНСОВЫЙ РЫНОК</w:t>
                      </w:r>
                    </w:p>
                  </w:txbxContent>
                </v:textbox>
              </v:rect>
              <v:rect id="_x0000_s1044" style="position:absolute;left:8448;top:6867;width:2520;height:1008" fillcolor="silver" strokeweight="1.5pt">
                <v:shadow on="t" type="double" color2="shadow add(102)" offset="-3pt,-3pt" offset2="-6pt,-6pt"/>
                <v:textbox style="mso-next-textbox:#_x0000_s1044">
                  <w:txbxContent>
                    <w:p w:rsidR="00A67ADA" w:rsidRDefault="00A67ADA">
                      <w:pPr>
                        <w:pStyle w:val="afa"/>
                      </w:pPr>
                      <w:r>
                        <w:t>КРЕДИТНЫЙ РЫНОК</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5" type="#_x0000_t67" style="position:absolute;left:6108;top:6466;width:720;height:432" adj="8650,4920" strokeweight="2.25pt"/>
            </v:group>
          </v:group>
        </w:pict>
      </w:r>
    </w:p>
    <w:p w:rsidR="00A67ADA" w:rsidRDefault="00A67ADA"/>
    <w:p w:rsidR="00A67ADA" w:rsidRDefault="00A67ADA"/>
    <w:p w:rsidR="00A67ADA" w:rsidRDefault="00A67ADA"/>
    <w:p w:rsidR="00A67ADA" w:rsidRDefault="00A67ADA"/>
    <w:p w:rsidR="00A67ADA" w:rsidRDefault="00A67ADA"/>
    <w:p w:rsidR="00A67ADA" w:rsidRDefault="00A67ADA"/>
    <w:p w:rsidR="00A67ADA" w:rsidRDefault="00A67ADA"/>
    <w:p w:rsidR="00A67ADA" w:rsidRDefault="00A67ADA"/>
    <w:p w:rsidR="00A67ADA" w:rsidRDefault="00A67ADA">
      <w:r>
        <w:t xml:space="preserve">Рис.3. Рынок ценных бумаг. </w:t>
      </w:r>
    </w:p>
    <w:p w:rsidR="00A67ADA" w:rsidRDefault="00A67ADA"/>
    <w:p w:rsidR="00A67ADA" w:rsidRDefault="00A67ADA">
      <w:r>
        <w:t xml:space="preserve">Несмотря на многие проблемы, с которыми столкнулся в настоящее время российский фондовый рынок, следует отметить, что это молодой, динамичный и перспективный рынок, который развивается на основе позитивных процессов, происходящих в нашей экономике: массового выпуска ценных, быстрого создания новых коммерческих образований и холдинговых структур, привлекающих средства на акционерной основе и т.п. Кроме того, рынок ценных бумаг играет важную роль в системе перераспределения финансовых ресурсов государства, а также, необходим для нормального функционирования рыночной экономики. Поэтому восстановление и регулирование развития фондового рынка является одной из первоочередных задач, стоящих перед правительством. </w:t>
      </w:r>
    </w:p>
    <w:p w:rsidR="00A67ADA" w:rsidRDefault="00A67ADA"/>
    <w:p w:rsidR="00A67ADA" w:rsidRDefault="00A67ADA">
      <w:pPr>
        <w:pStyle w:val="3"/>
      </w:pPr>
      <w:bookmarkStart w:id="4" w:name="_Toc218798754"/>
      <w:r>
        <w:t>1.3. Банки на рынке ценных бумаг</w:t>
      </w:r>
      <w:bookmarkEnd w:id="4"/>
    </w:p>
    <w:p w:rsidR="00A67ADA" w:rsidRDefault="00A67ADA"/>
    <w:p w:rsidR="00A67ADA" w:rsidRDefault="00A67ADA">
      <w:r>
        <w:t xml:space="preserve">Основные цели деятельности банков на рынке ценных бумаг (РЦБ) следующие: </w:t>
      </w:r>
    </w:p>
    <w:p w:rsidR="00A67ADA" w:rsidRDefault="00A67ADA">
      <w:pPr>
        <w:pStyle w:val="a"/>
      </w:pPr>
      <w:r>
        <w:t xml:space="preserve">привлечение дополнительных денежных ресурсов для традиционной расчетной и кредитной деятельности на основе эмиссии ценных бумаг; </w:t>
      </w:r>
    </w:p>
    <w:p w:rsidR="00A67ADA" w:rsidRDefault="00A67ADA">
      <w:pPr>
        <w:pStyle w:val="a"/>
      </w:pPr>
      <w:r>
        <w:t xml:space="preserve">получение прибыли от собственных инвестиций в ценные бумаги за счет выплачиваемых банку процентов и дивидендов и роста курсовой стоимости ценных бумаг; </w:t>
      </w:r>
    </w:p>
    <w:p w:rsidR="00A67ADA" w:rsidRDefault="00A67ADA">
      <w:pPr>
        <w:pStyle w:val="a"/>
      </w:pPr>
      <w:r>
        <w:t xml:space="preserve">получение прибыли от предоставления клиентам услуг по операциям с ценными бумагами; </w:t>
      </w:r>
    </w:p>
    <w:p w:rsidR="00A67ADA" w:rsidRDefault="00A67ADA">
      <w:pPr>
        <w:pStyle w:val="a"/>
      </w:pPr>
      <w:r>
        <w:t xml:space="preserve">расширение сферы влияния банка и привлечение новой клиентуры за счет участия в капиталах предприятий и организаций, учреждения подконтрольных финансовых структур; </w:t>
      </w:r>
    </w:p>
    <w:p w:rsidR="00A67ADA" w:rsidRDefault="00A67ADA">
      <w:pPr>
        <w:pStyle w:val="a"/>
      </w:pPr>
      <w:r>
        <w:t xml:space="preserve">доступ к дефицитным ресурсам через ценные бумаги, которые дают такое право и собственником которых становиться банк; </w:t>
      </w:r>
    </w:p>
    <w:p w:rsidR="00A67ADA" w:rsidRDefault="00A67ADA">
      <w:pPr>
        <w:pStyle w:val="a"/>
      </w:pPr>
      <w:r>
        <w:t xml:space="preserve">поддержание необходимого запаса ликвидности. </w:t>
      </w:r>
    </w:p>
    <w:p w:rsidR="00A67ADA" w:rsidRDefault="00A67ADA">
      <w:r>
        <w:t xml:space="preserve">Что касается конкретных видов операций, то их выбор зависит от типа политики на РЦБ, которую выбирает для себя банк. При этом важно иметь в виду по возможности полный перечень видов операций и сделок, из которых состоит фондовая деятельность, чтобы обоснованно определить свои приоритеты на данном рынке. Классификация операций банков на РЦБ представлена в приложении 8. </w:t>
      </w:r>
    </w:p>
    <w:p w:rsidR="00A67ADA" w:rsidRDefault="00A67ADA">
      <w:pPr>
        <w:pStyle w:val="4"/>
      </w:pPr>
    </w:p>
    <w:p w:rsidR="00A67ADA" w:rsidRDefault="00A67ADA">
      <w:pPr>
        <w:pStyle w:val="4"/>
      </w:pPr>
      <w:r>
        <w:t xml:space="preserve">Основные виды деятельности банков на РЦБ. </w:t>
      </w:r>
    </w:p>
    <w:p w:rsidR="00A67ADA" w:rsidRDefault="00A67ADA">
      <w:r>
        <w:t xml:space="preserve">1. Операции банков с собственными ценными бумагами. </w:t>
      </w:r>
    </w:p>
    <w:p w:rsidR="00A67ADA" w:rsidRDefault="00A67ADA">
      <w:r>
        <w:t xml:space="preserve">Собственные акции банки выпускают с целью формирования (увеличения) собственного уставного капитала. При формировании дополнительных, заемных средств они выпускают собственные облигации, сертификаты и др. ценные бумаги. Многие коммерческие банки в настоящее время являются активными участниками фондового рынка как эмитенты ценных бумаг. </w:t>
      </w:r>
    </w:p>
    <w:p w:rsidR="00A67ADA" w:rsidRDefault="00A67ADA">
      <w:r>
        <w:t xml:space="preserve">Принципы эмиссии: </w:t>
      </w:r>
    </w:p>
    <w:p w:rsidR="00A67ADA" w:rsidRDefault="00A67ADA">
      <w:pPr>
        <w:pStyle w:val="a"/>
      </w:pPr>
      <w:r>
        <w:t>соответствие интересам инвесторов – клиентов банка по риску, доходности и ликвидности</w:t>
      </w:r>
    </w:p>
    <w:p w:rsidR="00A67ADA" w:rsidRDefault="00A67ADA">
      <w:pPr>
        <w:pStyle w:val="a"/>
      </w:pPr>
      <w:r>
        <w:t xml:space="preserve">соответствие интересам банка по объемам и срокам привлекаемых ресурсов, их цене в сравнении с другими видами денежных обязательств, по условиям налогообложения и т.д. </w:t>
      </w:r>
    </w:p>
    <w:p w:rsidR="00A67ADA" w:rsidRDefault="00A67ADA">
      <w:pPr>
        <w:pStyle w:val="a"/>
      </w:pPr>
      <w:r>
        <w:t>связь с активами в форме ценных бумаг</w:t>
      </w:r>
    </w:p>
    <w:p w:rsidR="00A67ADA" w:rsidRDefault="00A67ADA">
      <w:pPr>
        <w:pStyle w:val="a"/>
      </w:pPr>
      <w:r>
        <w:t>плановый характер эмиссии</w:t>
      </w:r>
    </w:p>
    <w:p w:rsidR="00A67ADA" w:rsidRDefault="00A67ADA">
      <w:r>
        <w:t xml:space="preserve">Коммерческий банк может выпускать: акции, облигации, сертификаты, векселя, производные ценные бумаги. В свою очередь, существует множество разновидностей указанных бумаг, поэтому, как и при планировании портфельных инвестиций, возникает необходимость в разработке политики выпуска ценных бумаг, определении наиболее выгодного для банка соотношения между акционерным капиталом и привлеченными средствами (в пределах нормативов достаточности капитала), между ресурсами, аккумулированными за счет выпуска ценных бумаг и кредитно-депозитных операций. Необходимо также формирование оптимальной структуры привлеченных ресурсов с точки зрения ценных бумаг, соотношения их по срокам, обращаемости, приоритетности обязательств и т.д., а также с учетом структуры собственности и контроля на банк, видов инвесторов, с которыми работает банк, характера их спроса и т.д. Выпуск ценных бумаг банками подробно рассмотрен во второй главе. </w:t>
      </w:r>
    </w:p>
    <w:p w:rsidR="00A67ADA" w:rsidRDefault="00A67ADA">
      <w:r>
        <w:t xml:space="preserve">Помимо эмиссии коммерческие банки вправе (как и любые другие акционерные общества) совершать сделки со своими собственными акциями и облигациями на вторичном рынке. Такие сделки они совершают как через фондовую биржу, так и на внебиржевом рынке ценных бумаг. Коммерческий банк может выкупить на вторичном рынке свои собственные акции для поддержания их рыночного курса с возможной перепродажей, или в целях последующей льготной продажи этих акций сотрудникам банка. Кроме того, выкуп акций собственной эмиссии возможен для их последующего погашения. Допускается замена акций одного вида на другой вид (например, привилегированных на простые). </w:t>
      </w:r>
    </w:p>
    <w:p w:rsidR="00A67ADA" w:rsidRDefault="00A67ADA">
      <w:r>
        <w:t xml:space="preserve">Банки могут вкладывать средства в ценные бумаги с целью получения доходов. Такая деятельность является альтернативной по отношению к кредитованию. </w:t>
      </w:r>
    </w:p>
    <w:p w:rsidR="00A67ADA" w:rsidRDefault="00A67ADA">
      <w:r>
        <w:t xml:space="preserve">В торговых операциях с ценными бумагами банк выступает в роли торговца, приобретая их для собственного портфеля или продавая такие бумаги из собственного портфеля. Основная цель этих операций – увеличение дохода из разности курсов на одни и те же бумаги на биржах. Важное их условие – быстрота проведения сделок. Банки также могут заключать прямые сделки с ценными бумагами вне биржи (в своем помещении). </w:t>
      </w:r>
    </w:p>
    <w:p w:rsidR="00A67ADA" w:rsidRDefault="00A67ADA">
      <w:r>
        <w:t xml:space="preserve">2. Деятельность банков в качестве финансовых брокеров. </w:t>
      </w:r>
    </w:p>
    <w:p w:rsidR="00A67ADA" w:rsidRDefault="00A67ADA">
      <w:r>
        <w:t xml:space="preserve">В качестве финансового брокера на РЦБ банки выполняют посреднические (агентские) функции при купле-продаже за счет и по поручению клиента. По поручению клиентов банки могут совершать комиссионные операции, т.е. осуществлять сделки купли-продажи ценных бумаг за счет клиента, но от своего имени. Брокерские операции на основании договора поручения предполагают поручение клиента банку купить или продать ценные бумаги от имени и за счет клиента и заключение между ними соответствующего договора. </w:t>
      </w:r>
    </w:p>
    <w:p w:rsidR="00A67ADA" w:rsidRDefault="00A67ADA">
      <w:r>
        <w:t xml:space="preserve">3. Деятельность банков в качестве инвестиционных компаний. </w:t>
      </w:r>
    </w:p>
    <w:p w:rsidR="00A67ADA" w:rsidRDefault="00A67ADA">
      <w:r>
        <w:t xml:space="preserve">Предприятия при эмиссии и размещении своих ценных бумаг обращаются к услугам других лиц. И, как правило, посредниками в этих случаях выступают банки и кредитные учреждения. </w:t>
      </w:r>
    </w:p>
    <w:p w:rsidR="00A67ADA" w:rsidRDefault="00A67ADA">
      <w:r>
        <w:t>Банки вправе по соглашению с эмитентом организовывать выпуск ценных бумаг и их первичное размещение. При этом инвестиционные институты могут создавать временные объединения (консорциумы или синдикаты) для совместной организации выпуска и размещение ценных бумаг одного эмитента, для чего они заключают многостороннее соглашение, с одной стороны, и соглашение головного института консорциума с эмитентом (эмиссионное соглашение) – с другой стороны. Банки, выступая в качестве инвестиционных компаний, могут выдавать гарантии в пользу других лиц-посредников, занимающихся размещением ценных бумаг, – по размещению ими ценных бумаг эмитента</w:t>
      </w:r>
    </w:p>
    <w:p w:rsidR="00A67ADA" w:rsidRDefault="00A67ADA">
      <w:r>
        <w:t xml:space="preserve">На вторичном рынке ценных бумаг коммерческие банки могут совершать самые разнообразные операции. Банк может выполнять эти операции на основе поручения клиента о покупке или продаже ценных бумаг; может покупать и продавать ценные бумаги от своего имени и за свой счет, как через фондовую биржу, так и на внебиржевом рынке ценных бумаг; может заключать сделки, направленные на поддержание курса ценных бумаг определенных эмитентов; он осуществляет хранение ценных бумаг своих клиентов; банк может производить по поручению своего клиента "управление портфелем" его ценных бумаг. </w:t>
      </w:r>
    </w:p>
    <w:p w:rsidR="00A67ADA" w:rsidRDefault="00A67ADA">
      <w:pPr>
        <w:pStyle w:val="2"/>
      </w:pPr>
      <w:r>
        <w:br w:type="page"/>
      </w:r>
      <w:bookmarkStart w:id="5" w:name="_Toc218798755"/>
      <w:r>
        <w:t>2. Порядок выпуска ценных бумаг банками</w:t>
      </w:r>
      <w:bookmarkEnd w:id="5"/>
    </w:p>
    <w:p w:rsidR="00A67ADA" w:rsidRDefault="00A67ADA"/>
    <w:p w:rsidR="00A67ADA" w:rsidRDefault="00A67ADA">
      <w:pPr>
        <w:pStyle w:val="3"/>
      </w:pPr>
      <w:bookmarkStart w:id="6" w:name="_Toc218798756"/>
      <w:r>
        <w:t>2.1. Правила эмиссии ценных бумаг</w:t>
      </w:r>
      <w:bookmarkEnd w:id="6"/>
    </w:p>
    <w:p w:rsidR="00A67ADA" w:rsidRDefault="00A67ADA"/>
    <w:p w:rsidR="00A67ADA" w:rsidRDefault="00A67ADA">
      <w:r>
        <w:t xml:space="preserve">Банк, созданный в форме ОАО или ЗАО, формирует свой уставный капитал из номинальной стоимости акций, приобретенных акционерами. </w:t>
      </w:r>
    </w:p>
    <w:p w:rsidR="00A67ADA" w:rsidRDefault="00A67ADA">
      <w:r>
        <w:t xml:space="preserve">Банк, созданный в форме ОАО, вправе проводить размещение акций путем открытой и закрытой подписки. Способ размещения акций в этом случае определяется уставом банка, а при отсутствии указаний в уставе – решением общего собрания акционеров, в ином случае размещение может проводиться только путем открытой подписки. Банк, созданный в форме ЗАО, не вправе проводить размещение акций посредством открытой. </w:t>
      </w:r>
    </w:p>
    <w:p w:rsidR="00A67ADA" w:rsidRDefault="00A67ADA">
      <w:r>
        <w:t xml:space="preserve">Уставом банка определяются категория, количество и номинальная стоимость акций в российских рублях, приобретенных акционерами (размещенные акции), количество и номинальная стоимость акций, которые банк вправе размещать дополнительно к размещенным акциям (объявленные акции). Дополнительные акции могут быть размещены только в пределах количества объявленных акций. </w:t>
      </w:r>
    </w:p>
    <w:p w:rsidR="00A67ADA" w:rsidRDefault="00A67ADA">
      <w:r>
        <w:t xml:space="preserve">Количество, номинальная стоимость, права, предоставляемые акциями банка каждой категории, должны быть определены в уставе банка. Уставом банка могут быть установлены ограничения количества акций, принадлежащих одному акционеру, и их суммарной номинальной стоимости, а также максимального размера голосов, предоставляемых одному акционеру. </w:t>
      </w:r>
    </w:p>
    <w:p w:rsidR="00A67ADA" w:rsidRDefault="00A67ADA">
      <w:r>
        <w:t xml:space="preserve">Новая эмиссия акций может осуществляться лишь после полной оплаты акционерами всех ранее размещенных банком акций. Решение об очередном выпуске акций может быть принято только после регистрации изменений, вносимых в устав банка по итогам предыдущей эмиссии относительно нового размера уставного капитала и количества размещенных и объявленных акций. </w:t>
      </w:r>
    </w:p>
    <w:p w:rsidR="00A67ADA" w:rsidRDefault="00A67ADA">
      <w:r>
        <w:t xml:space="preserve">Номинальная стоимость акций должна выражаться в российских рублях. Банк может выпускать обыкновенные и привилегированные акции. </w:t>
      </w:r>
    </w:p>
    <w:p w:rsidR="00A67ADA" w:rsidRDefault="00A67ADA">
      <w:r>
        <w:t xml:space="preserve">Обыкновенные акции независимо от порядкового номера и времени выпуска должны иметь одинаковую номинальную стоимость и предоставлять их владельцам одинаковый объем прав. </w:t>
      </w:r>
    </w:p>
    <w:p w:rsidR="00A67ADA" w:rsidRDefault="00A67ADA">
      <w:r>
        <w:t xml:space="preserve">Номинальная стоимость размещенных привилегированных акций не должна превышать 25% от уставного капитала банка. Возможность выпуска одного или нескольких типов привилегированных акций, размер дивиденда и ликвидационная стоимость по каждому из них, объем прав, предоставляемый ими, определяются уставом банка. Привилегированные акции одного типа предоставляют их владельцам одинаковый объем прав и имеют одинаковую номинальную стоимость. </w:t>
      </w:r>
    </w:p>
    <w:p w:rsidR="00A67ADA" w:rsidRDefault="00A67ADA">
      <w:r>
        <w:t>Выпуск акций при создании банка в форме АО</w:t>
      </w:r>
    </w:p>
    <w:p w:rsidR="00A67ADA" w:rsidRDefault="00A67ADA">
      <w:r>
        <w:t xml:space="preserve">При создании банка в форме АО путем учреждения или реорганизации все акции должны быть размещены среди ее учредителей. При учреждении банка категории и типы акций, подлежащих размещению среди учредителей, а также размер уставного капитала определяются в письменном договоре о создании банка. </w:t>
      </w:r>
    </w:p>
    <w:p w:rsidR="00A67ADA" w:rsidRDefault="00A67ADA">
      <w:r>
        <w:t xml:space="preserve">Порядок выпуска акций банков, создаваемых при разделении банка, вновь создаваемых банков путем выделения, а также порядок и условия конвертации акций реорганизуемого банка в акции создаваемых путем разделения банков определяется советом реорганизуемого банка и утверждается его общим собранием акционеров. Оплата акций банка при его учреждении производится его учредителями по номинальной стоимости. </w:t>
      </w:r>
    </w:p>
    <w:p w:rsidR="00A67ADA" w:rsidRDefault="00A67ADA">
      <w:r>
        <w:t xml:space="preserve">В случае, когда в результате преобразования создается банк в форме АО с уставным капиталом большим, чем уставный капитал преобразуемого банка, оплата акций производится в порядке, установленном для вновь создаваемых банков, и осуществляется только за счет дополнительных взносов учредителей или путем капитализации собственных средств банка. </w:t>
      </w:r>
    </w:p>
    <w:p w:rsidR="00A67ADA" w:rsidRDefault="00A67ADA">
      <w:pPr>
        <w:pStyle w:val="4"/>
      </w:pPr>
    </w:p>
    <w:p w:rsidR="00A67ADA" w:rsidRDefault="00A67ADA">
      <w:pPr>
        <w:pStyle w:val="4"/>
      </w:pPr>
      <w:r>
        <w:t xml:space="preserve">Выпуск акций при изменении размера уставного капитала </w:t>
      </w:r>
    </w:p>
    <w:p w:rsidR="00A67ADA" w:rsidRDefault="00A67ADA">
      <w:pPr>
        <w:pStyle w:val="4"/>
      </w:pPr>
      <w:r>
        <w:t>акционерного банка</w:t>
      </w:r>
    </w:p>
    <w:p w:rsidR="00A67ADA" w:rsidRDefault="00A67ADA">
      <w:r>
        <w:t xml:space="preserve">Увеличение уставного капитала банка может осуществляться путем увеличения номинальной стоимости уже размещенных акций или размещения дополнительных акций. Решение о выпуске акций для увеличения уставного капитала принимается общим собранием акционеров большинством голосов владельцев голосующих акций, или советом директоров банка единогласно. </w:t>
      </w:r>
    </w:p>
    <w:p w:rsidR="00A67ADA" w:rsidRDefault="00A67ADA">
      <w:r>
        <w:t xml:space="preserve">Дополнительные акции могут быть размещены только в пределах количества объявленных акций, установленного уставом банка - эмитента. Решение о внесении изменений в устав банка - эмитента относительно объявленных акций принимается общим собранием акционеров большинством в 3/4 голосов акционеров. </w:t>
      </w:r>
    </w:p>
    <w:p w:rsidR="00A67ADA" w:rsidRDefault="00A67ADA">
      <w:r>
        <w:t xml:space="preserve">Решение о неприменении преимущественного права приобретения голосующих акций принимается общим собранием акционеров большинством голосов владельцев акций, принимающих участие в общем собрании акционеров. </w:t>
      </w:r>
    </w:p>
    <w:p w:rsidR="00A67ADA" w:rsidRDefault="00A67ADA">
      <w:r>
        <w:t xml:space="preserve">Эти решения не распространяются на владельцев привилегированных акций банка, которые приобрели право голоса в следующих случаях: </w:t>
      </w:r>
    </w:p>
    <w:p w:rsidR="00A67ADA" w:rsidRDefault="00A67ADA">
      <w:pPr>
        <w:pStyle w:val="a"/>
      </w:pPr>
      <w:r>
        <w:t xml:space="preserve">при решении вопросов о реорганизации и ликвидации банка; </w:t>
      </w:r>
    </w:p>
    <w:p w:rsidR="00A67ADA" w:rsidRDefault="00A67ADA">
      <w:pPr>
        <w:pStyle w:val="a"/>
      </w:pPr>
      <w:r>
        <w:t xml:space="preserve">при решении на общем собрании акционеров вопросов о внесении в устав банка-эмитента изменений и дополнений, ограничивающих права акционеров – владельцев этого типа привилегированных акций, включая случаи определения или увеличения размера дивиденда и определения или увеличения ликвидационной стоимости, выплачиваемых по привилегиро-ванным акциям предыдущей очереди, а также предоставления акционерам – владельцам иного типа привилегированных акций преимуществ в очередности выплаты дивиденда и ликвидационной стоимости акций; </w:t>
      </w:r>
    </w:p>
    <w:p w:rsidR="00A67ADA" w:rsidRDefault="00A67ADA">
      <w:pPr>
        <w:pStyle w:val="a"/>
      </w:pPr>
      <w:r>
        <w:t>при принятии общим собранием акционеров решения о невыплате дивидендов или неполной выплате дивидендов акционерам – владельцам привилегированных акций определенного типа, размер дивиденда по которым определен в уставе банка (за исключением владельцев кумулятивных привилегированных акций), и имеющим право участвовать в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не было принято решение о выплате дивидендов или было</w:t>
      </w:r>
    </w:p>
    <w:p w:rsidR="00A67ADA" w:rsidRDefault="00A67ADA">
      <w:pPr>
        <w:pStyle w:val="a"/>
      </w:pPr>
      <w:r>
        <w:t xml:space="preserve">при принятии общим собранием акционеров решения о невыплате или неполной выплате дивидендов акционерам – владельцам кумулятивных привилегированных акций определенного типа и получившим право участвовать в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должно было быть принято решение о выплате по этим акциям в полном размере накопленных дивидендов, если такое решение не было принято или было принято решение о неполной выплате дивидендов. </w:t>
      </w:r>
    </w:p>
    <w:p w:rsidR="00A67ADA" w:rsidRDefault="00A67ADA">
      <w:r>
        <w:t xml:space="preserve">При увеличении (уменьшении) уставного капитала путем увеличения (уменьшения) номинальной стоимости размещенных акций регистрационные документы оформляются на выпуск акций с увеличенной (уменьшенной) номинальной стоимостью. В процессе размещения акции с прежней номинальной стоимостью заменяются на вновь выпущенные акции с увеличенной (уменьшенной) номинальной стоимостью и после регистрации итогов выпуска аннулируются. </w:t>
      </w:r>
    </w:p>
    <w:p w:rsidR="00A67ADA" w:rsidRDefault="00A67ADA">
      <w:pPr>
        <w:pStyle w:val="4"/>
      </w:pPr>
      <w:r>
        <w:br w:type="page"/>
        <w:t xml:space="preserve">Выпуск акций при консолидации и дроблении акций банка </w:t>
      </w:r>
    </w:p>
    <w:p w:rsidR="00A67ADA" w:rsidRDefault="00A67ADA">
      <w:r>
        <w:t xml:space="preserve">По решению общего собрания акционеров банк может проводить дробление и консолидацию уже размещенных акций путем осуществления нового выпуска акций той же категории без увеличения уставного капитала. В случае образования дробных акций при консолидации ранее размещенных банком акций последние подлежат выкупу по рыночной стоимости, определяемой в порядке, установленном действующим законодательством. В процессе размещения ранее размещенные акции заменяются на вновь выпущенные акции и после регистрации итогов выпуска аннулируются. </w:t>
      </w:r>
    </w:p>
    <w:p w:rsidR="00A67ADA" w:rsidRDefault="00A67ADA">
      <w:pPr>
        <w:pStyle w:val="4"/>
      </w:pPr>
    </w:p>
    <w:p w:rsidR="00A67ADA" w:rsidRDefault="00A67ADA">
      <w:pPr>
        <w:pStyle w:val="4"/>
      </w:pPr>
      <w:r>
        <w:t>Выпуск банком собственных облигаций</w:t>
      </w:r>
    </w:p>
    <w:p w:rsidR="00A67ADA" w:rsidRDefault="00A67ADA">
      <w:r>
        <w:t xml:space="preserve">Банк в соответствии с законодательством и его уставом по решению совета директоров может выпускать облигации для привлечения заемных средств. Выпуск облигаций допускается только после полной оплаты уставного капитала. </w:t>
      </w:r>
    </w:p>
    <w:p w:rsidR="00A67ADA" w:rsidRDefault="00A67ADA">
      <w:r>
        <w:t>Банк может выпускать облигации именные и на предъявителя; обеспеченные залогом собственного имущества либо облигации под обеспечение, предоставленное банка для целей выпуска третьими лицами, облигации без обеспечения; процентные и дисконтные; конвертируемые в акции; с единовременным сроком погашения или облигации со сроком погашения по сериям в определенные сроки</w:t>
      </w:r>
    </w:p>
    <w:p w:rsidR="00A67ADA" w:rsidRDefault="00A67ADA">
      <w:r>
        <w:t xml:space="preserve">Банки могут выпускать облигации без обеспечения не ранее третьего года существования банка при условии надлежащего утверждения к этому времени двух годовых балансов и на сумму, не превышающую размер уставного капитала банка. </w:t>
      </w:r>
    </w:p>
    <w:p w:rsidR="00A67ADA" w:rsidRDefault="00A67ADA">
      <w:r>
        <w:t xml:space="preserve">Предоставление обеспечения третьими лицами при выпуске облигаций требуется в случаях: </w:t>
      </w:r>
    </w:p>
    <w:p w:rsidR="00A67ADA" w:rsidRDefault="00A67ADA">
      <w:pPr>
        <w:pStyle w:val="a"/>
      </w:pPr>
      <w:r>
        <w:t xml:space="preserve">существования банка менее двух лет (на всю сумму выпуска облигаций); </w:t>
      </w:r>
    </w:p>
    <w:p w:rsidR="00A67ADA" w:rsidRDefault="00A67ADA">
      <w:pPr>
        <w:pStyle w:val="a"/>
      </w:pPr>
      <w:r>
        <w:t xml:space="preserve">существования банка более двух лет при выпуске облигаций на сумму, превышающую размер уставного капитала (величина обеспечения должна быть не менее суммы превышения размера уставного капитала). </w:t>
      </w:r>
    </w:p>
    <w:p w:rsidR="00A67ADA" w:rsidRDefault="00A67ADA">
      <w:r>
        <w:t xml:space="preserve">Номинальная стоимость облигаций может быть выражена в валюте Российской Федерации или в иностранной валюте. </w:t>
      </w:r>
    </w:p>
    <w:p w:rsidR="00A67ADA" w:rsidRDefault="00A67ADA">
      <w:r>
        <w:t>Порядок выпуска и обращения сберегательных (депозитных) сертификатов</w:t>
      </w:r>
    </w:p>
    <w:p w:rsidR="00A67ADA" w:rsidRDefault="00A67ADA">
      <w:r>
        <w:t xml:space="preserve">Сберегательный (депозитный) сертификат является ценной бумагой, удостоверяющей сумму вклада, внесенного в кредитную организацию, и права вкладчика на получение по истечении установленного срока суммы вклада и обусловленных в сертификате процентов в банка, выдавшей сертификат, или в любом ее филиале. </w:t>
      </w:r>
    </w:p>
    <w:p w:rsidR="00A67ADA" w:rsidRDefault="00A67ADA">
      <w:r>
        <w:t xml:space="preserve">Право выпуска сберегательного сертификата предоставляется банкам при следующих условиях: </w:t>
      </w:r>
    </w:p>
    <w:p w:rsidR="00A67ADA" w:rsidRDefault="00A67ADA">
      <w:pPr>
        <w:pStyle w:val="a"/>
      </w:pPr>
      <w:r>
        <w:t xml:space="preserve">осуществления банковской деятельности не менее двух лет; </w:t>
      </w:r>
    </w:p>
    <w:p w:rsidR="00A67ADA" w:rsidRDefault="00A67ADA">
      <w:pPr>
        <w:pStyle w:val="a"/>
      </w:pPr>
      <w:r>
        <w:t xml:space="preserve">публикации годовой отчетности подтвержденной аудиторской фирмой; </w:t>
      </w:r>
    </w:p>
    <w:p w:rsidR="00A67ADA" w:rsidRDefault="00A67ADA">
      <w:pPr>
        <w:pStyle w:val="a"/>
      </w:pPr>
      <w:r>
        <w:t xml:space="preserve">соблюдения банковского законодательства и нормативных актов Банка России; </w:t>
      </w:r>
    </w:p>
    <w:p w:rsidR="00A67ADA" w:rsidRDefault="00A67ADA">
      <w:pPr>
        <w:pStyle w:val="a"/>
      </w:pPr>
      <w:r>
        <w:t xml:space="preserve">выполнения обязательных экономических нормативов; </w:t>
      </w:r>
    </w:p>
    <w:p w:rsidR="00A67ADA" w:rsidRDefault="00A67ADA">
      <w:pPr>
        <w:pStyle w:val="a"/>
      </w:pPr>
      <w:r>
        <w:t xml:space="preserve">наличия резервного фонда в размере не менее 15% от оплаченного УК; </w:t>
      </w:r>
    </w:p>
    <w:p w:rsidR="00A67ADA" w:rsidRDefault="00A67ADA">
      <w:pPr>
        <w:pStyle w:val="a"/>
      </w:pPr>
      <w:r>
        <w:t xml:space="preserve">выполнения обязательных резервных требований. </w:t>
      </w:r>
    </w:p>
    <w:p w:rsidR="00A67ADA" w:rsidRDefault="00A67ADA">
      <w:r>
        <w:t xml:space="preserve">Сертификаты могут выпускаться как в разовом порядке, так и сериями. </w:t>
      </w:r>
    </w:p>
    <w:p w:rsidR="00A67ADA" w:rsidRDefault="00A67ADA">
      <w:r>
        <w:t xml:space="preserve">Сертификаты могут быть именными или на предъявителя. </w:t>
      </w:r>
    </w:p>
    <w:p w:rsidR="00A67ADA" w:rsidRDefault="00A67ADA">
      <w:r>
        <w:t xml:space="preserve">Сертификаты выпускаются в валюте Российской Федерации. </w:t>
      </w:r>
    </w:p>
    <w:p w:rsidR="00A67ADA" w:rsidRDefault="00A67ADA">
      <w:r>
        <w:t xml:space="preserve">Владельцами сертификатов могут быть как резиденты, так и нерезиденты. Сертификаты должны быть срочными. Банк не может в одностороннем порядке изменить обусловленную в сертификате ставку процентов, установленную при выдаче сертификата. </w:t>
      </w:r>
    </w:p>
    <w:p w:rsidR="00A67ADA" w:rsidRDefault="00A67ADA">
      <w:r>
        <w:t xml:space="preserve">На бланке сертификата должны содержаться следующие реквизиты: </w:t>
      </w:r>
    </w:p>
    <w:p w:rsidR="00A67ADA" w:rsidRDefault="00A67ADA">
      <w:pPr>
        <w:pStyle w:val="a"/>
      </w:pPr>
      <w:r>
        <w:t xml:space="preserve">наименование "сберегательный (или депозитный) сертификат"; </w:t>
      </w:r>
    </w:p>
    <w:p w:rsidR="00A67ADA" w:rsidRDefault="00A67ADA">
      <w:pPr>
        <w:pStyle w:val="a"/>
      </w:pPr>
      <w:r>
        <w:t xml:space="preserve">номер и серия сертификата; </w:t>
      </w:r>
    </w:p>
    <w:p w:rsidR="00A67ADA" w:rsidRDefault="00A67ADA">
      <w:pPr>
        <w:pStyle w:val="a"/>
      </w:pPr>
      <w:r>
        <w:t xml:space="preserve">дата внесения вклада или депозита; </w:t>
      </w:r>
    </w:p>
    <w:p w:rsidR="00A67ADA" w:rsidRDefault="00A67ADA">
      <w:pPr>
        <w:pStyle w:val="a"/>
      </w:pPr>
      <w:r>
        <w:t xml:space="preserve">размер вклада или депозита, оформленного сертификатом; </w:t>
      </w:r>
    </w:p>
    <w:p w:rsidR="00A67ADA" w:rsidRDefault="00A67ADA">
      <w:pPr>
        <w:pStyle w:val="a"/>
      </w:pPr>
      <w:r>
        <w:t xml:space="preserve">безусловное обязательство банка вернуть сумму, внесенную в депозит или на вклад, и выплатить причитающиеся проценты; </w:t>
      </w:r>
    </w:p>
    <w:p w:rsidR="00A67ADA" w:rsidRDefault="00A67ADA">
      <w:pPr>
        <w:pStyle w:val="a"/>
      </w:pPr>
      <w:r>
        <w:t xml:space="preserve">дата востребования суммы по сертификату; </w:t>
      </w:r>
    </w:p>
    <w:p w:rsidR="00A67ADA" w:rsidRDefault="00A67ADA">
      <w:pPr>
        <w:pStyle w:val="a"/>
      </w:pPr>
      <w:r>
        <w:t xml:space="preserve">ставка процента за пользование депозитом или вкладом; </w:t>
      </w:r>
    </w:p>
    <w:p w:rsidR="00A67ADA" w:rsidRDefault="00A67ADA">
      <w:pPr>
        <w:pStyle w:val="a"/>
      </w:pPr>
      <w:r>
        <w:t xml:space="preserve">сумма причитающихся процентов (прописью и цифрами); </w:t>
      </w:r>
    </w:p>
    <w:p w:rsidR="00A67ADA" w:rsidRDefault="00A67ADA">
      <w:pPr>
        <w:pStyle w:val="a"/>
      </w:pPr>
      <w:r>
        <w:t xml:space="preserve">ставка процента при досрочном предъявлении сертификата к оплате; </w:t>
      </w:r>
    </w:p>
    <w:p w:rsidR="00A67ADA" w:rsidRDefault="00A67ADA">
      <w:pPr>
        <w:pStyle w:val="a"/>
      </w:pPr>
      <w:r>
        <w:t xml:space="preserve">наименование, местонахождение и корреспондентский счет банка, открытый в Банке России; </w:t>
      </w:r>
    </w:p>
    <w:p w:rsidR="00A67ADA" w:rsidRDefault="00A67ADA">
      <w:pPr>
        <w:pStyle w:val="a"/>
      </w:pPr>
      <w:r>
        <w:t xml:space="preserve">для именного сертификата: наименование и местонахождение вкладчика – юридического лица и Ф. И.О. и паспортные данные вкладчика – физического лица; </w:t>
      </w:r>
    </w:p>
    <w:p w:rsidR="00A67ADA" w:rsidRDefault="00A67ADA">
      <w:pPr>
        <w:pStyle w:val="a"/>
      </w:pPr>
      <w:r>
        <w:t xml:space="preserve">подписи двух лиц, уполномоченных банком, скрепленные печатью банка. </w:t>
      </w:r>
    </w:p>
    <w:p w:rsidR="00A67ADA" w:rsidRDefault="00A67ADA">
      <w:r>
        <w:t xml:space="preserve">Именной сберегательный (депозитный) сертификат должен иметь место для оформления уступки требования (цессии), а также может иметь дополнительные листы-приложения к именному сертификату, на которых оформляются цессии. </w:t>
      </w:r>
    </w:p>
    <w:p w:rsidR="00A67ADA" w:rsidRDefault="00A67ADA">
      <w:r>
        <w:t xml:space="preserve">При выписке сертификата банк заполняет все реквизиты корешка сертификата. Корешок сертификата подписывается владельцем сертификата или его уполномоченным лицом согласно доверенности, оформленной в соответствии с действующим законодательством, отделяется от сертификата и хранится банком. </w:t>
      </w:r>
    </w:p>
    <w:p w:rsidR="00A67ADA" w:rsidRDefault="00A67ADA">
      <w:pPr>
        <w:rPr>
          <w:snapToGrid w:val="0"/>
        </w:rPr>
      </w:pPr>
      <w:r>
        <w:rPr>
          <w:snapToGrid w:val="0"/>
        </w:rPr>
        <w:t xml:space="preserve">Для передачи прав другому лицу, удостоверенных сертификатом на предъявителя, достаточно вручения сертификата этому лицу. </w:t>
      </w:r>
    </w:p>
    <w:p w:rsidR="00A67ADA" w:rsidRDefault="00A67ADA">
      <w:pPr>
        <w:rPr>
          <w:snapToGrid w:val="0"/>
        </w:rPr>
      </w:pPr>
      <w:r>
        <w:rPr>
          <w:snapToGrid w:val="0"/>
        </w:rPr>
        <w:t xml:space="preserve">Права, удостоверенные именным сертификатом, передаются в порядке, установленном для уступки требований (цессии). </w:t>
      </w:r>
    </w:p>
    <w:p w:rsidR="00A67ADA" w:rsidRDefault="00A67ADA">
      <w:pPr>
        <w:rPr>
          <w:snapToGrid w:val="0"/>
        </w:rPr>
      </w:pPr>
      <w:r>
        <w:rPr>
          <w:snapToGrid w:val="0"/>
        </w:rPr>
        <w:t xml:space="preserve">Уступка требования поименному сертификату оформляется на оборотной стороне такого сертификата или на дополнительных листах (приложениях) к именному сертификату двусторонним соглашением лица, уступающего свои права (цедента), и лица, приобретающего эти права (цессионария). Соглашение об уступке требования по депозитному сертификату подписывается с каждой стороны двумя лицами, уполномоченными соответствующим юридическим лицом на совершение таких сделок, и скрепляется печатью юридического лица. Каждый договор об уступке нумеруется цедентом. Договор об уступке требования по сберегательному сертификату подписывается обеими сторонами лично. </w:t>
      </w:r>
    </w:p>
    <w:p w:rsidR="00A67ADA" w:rsidRDefault="00A67ADA">
      <w:r>
        <w:rPr>
          <w:snapToGrid w:val="0"/>
        </w:rPr>
        <w:t xml:space="preserve">Уступка требования по сертификату может быть совершена только в течение срока обращения сертификата. </w:t>
      </w:r>
    </w:p>
    <w:p w:rsidR="00A67ADA" w:rsidRDefault="00A67ADA">
      <w:r>
        <w:t xml:space="preserve">Внесение исправлений при оформлении цессии именного сберегательного сертификата оформляется нотариально либо в банке, выдавшем сертификат. </w:t>
      </w:r>
    </w:p>
    <w:p w:rsidR="00A67ADA" w:rsidRDefault="00A67ADA">
      <w:r>
        <w:t xml:space="preserve">Банк вправе размещать сберегательные (депозитные) сертификаты только после регистрации условий выпуска и обращения сертификатов в территориальном учреждении Банка России и внесения их в Реестр условий выпуска и обращения сберегательных и депозитных сертификатов кредитных организаций в Департаменте контроля. </w:t>
      </w:r>
    </w:p>
    <w:p w:rsidR="00A67ADA" w:rsidRDefault="00A67ADA">
      <w:r>
        <w:t xml:space="preserve">Для регистрации условий выпуска банк должен представить в регистрирующий орган следующие документы: </w:t>
      </w:r>
    </w:p>
    <w:p w:rsidR="00A67ADA" w:rsidRDefault="00A67ADA">
      <w:pPr>
        <w:pStyle w:val="a"/>
      </w:pPr>
      <w:r>
        <w:t xml:space="preserve">условия выпуска и обращения сертификатов; </w:t>
      </w:r>
    </w:p>
    <w:p w:rsidR="00A67ADA" w:rsidRDefault="00A67ADA">
      <w:pPr>
        <w:pStyle w:val="a"/>
      </w:pPr>
      <w:r>
        <w:t xml:space="preserve">макет бланка сертификата; </w:t>
      </w:r>
    </w:p>
    <w:p w:rsidR="00A67ADA" w:rsidRDefault="00A67ADA">
      <w:pPr>
        <w:pStyle w:val="a"/>
      </w:pPr>
      <w:r>
        <w:t xml:space="preserve">нотариально заверенную копию лицензии банка на осуществление банковских операций; </w:t>
      </w:r>
    </w:p>
    <w:p w:rsidR="00A67ADA" w:rsidRDefault="00A67ADA">
      <w:pPr>
        <w:pStyle w:val="a"/>
      </w:pPr>
      <w:r>
        <w:t xml:space="preserve">свидетельство о государственной регистрации банка (при выпуске сберегательных сертификатов); </w:t>
      </w:r>
    </w:p>
    <w:p w:rsidR="00A67ADA" w:rsidRDefault="00A67ADA">
      <w:pPr>
        <w:pStyle w:val="a"/>
      </w:pPr>
      <w:r>
        <w:t xml:space="preserve">баланс и расчет обязательных экономических нормативов на последнюю отчетную дату перед принятием решения о выпуске сертификатов. </w:t>
      </w:r>
    </w:p>
    <w:p w:rsidR="00A67ADA" w:rsidRDefault="00A67ADA">
      <w:r>
        <w:t xml:space="preserve">Банк, выпускающий сертификаты, должен утвердить условия выпуска и обращения своих сертификатов. Условия выпуска представляются для каждого типа сертификатов отдельно и должны содержать ссылку на дату принятия решения о выпуске сертификатов и наименование органа банка, принявшего такое решение и утвердившего данные условия, быть подписаны ее руководителем и в двухнедельный срок с даты принятия решения о выпуске представлены в трех экземплярах в регистрирующие органы по местонахождению корреспондентского счета банка. Срок рассмотрения условий выпуска регистрирующим органом не должен превышать двух недель. Внесение изменений и дополнений в зарегистрированные территориальными учреждениями Банка России условия выпуска и/или макет бланка сертификата банками производится путем регистрации новых условий выпуска. С момента регистрации новых условий выпуска сертификатов банк не вправе размещать сертификаты в соответствии с ранее зарегистрированными условиями выпуска. </w:t>
      </w:r>
    </w:p>
    <w:p w:rsidR="00A67ADA" w:rsidRDefault="00A67ADA">
      <w:r>
        <w:t xml:space="preserve">Основанием для отказа в регистрации условий выпуска могут быть: </w:t>
      </w:r>
    </w:p>
    <w:p w:rsidR="00A67ADA" w:rsidRDefault="00A67ADA">
      <w:pPr>
        <w:pStyle w:val="a"/>
      </w:pPr>
      <w:r>
        <w:t xml:space="preserve">несоответствие условий выпуска действующему законодатель-ству, нормативным актам Банка России; </w:t>
      </w:r>
    </w:p>
    <w:p w:rsidR="00A67ADA" w:rsidRDefault="00A67ADA">
      <w:pPr>
        <w:pStyle w:val="a"/>
      </w:pPr>
      <w:r>
        <w:t xml:space="preserve">несвоевременное представление банком условий выпуска в регистрирующий орган; </w:t>
      </w:r>
    </w:p>
    <w:p w:rsidR="00A67ADA" w:rsidRDefault="00A67ADA">
      <w:pPr>
        <w:pStyle w:val="a"/>
      </w:pPr>
      <w:r>
        <w:t xml:space="preserve">существенное ухудшение финансового положения банка и отнесение банка к 3-й или 4-й классификационной группе; </w:t>
      </w:r>
    </w:p>
    <w:p w:rsidR="00A67ADA" w:rsidRDefault="00A67ADA">
      <w:pPr>
        <w:pStyle w:val="a"/>
      </w:pPr>
      <w:r>
        <w:t xml:space="preserve">применение территориальными учреждениями Банка России санкций к банкам в виде ограничения, запрета на проведение операций по привлечению денежных средств во вклады в соответствии с нормативными актами Банка России; </w:t>
      </w:r>
    </w:p>
    <w:p w:rsidR="00A67ADA" w:rsidRDefault="00A67ADA">
      <w:pPr>
        <w:pStyle w:val="a"/>
      </w:pPr>
      <w:r>
        <w:t xml:space="preserve">реклама выпуска сертификатов до регистрации условий выпуска. </w:t>
      </w:r>
    </w:p>
    <w:p w:rsidR="00A67ADA" w:rsidRDefault="00A67ADA">
      <w:r>
        <w:t xml:space="preserve">Регистрирующий орган регистрирует в отдельном журнале условия выпуска с указанием наименования банка, выпускающей их в обращение, даты принятия ею решения о выпуске сертификатов, даты представления условий выпуска в регистрирующий орган, а также прочие сведения о выпуске. Один экземпляр зарегистрированных условий выпуска с макетами сертификатов направляется регистрирующим органом не позднее следующего дня с момента их регистрации в Департамент контроля для внесения в Реестр условий выпуска и обращения сберегательных и депозитных сертификатов кредитных организаций в течение трех недель с момента получения зарегистрированных условий выпуска от регистрирующего органа. В случае возврата документов из Департамента контроля в регистрирующий орган последний передает указанные документы банка на доработку. Срок рассмотрения доработанных документов в регистрирующем органе начинает исчисляться заново с момента их представления кредитной организацией. </w:t>
      </w:r>
    </w:p>
    <w:p w:rsidR="00A67ADA" w:rsidRDefault="00A67ADA">
      <w:r>
        <w:t xml:space="preserve">На следующий день после получения уведомления Департамента о внесении условий выпуска в Реестр условий выпуска и обращения сберегательных и депозитных сертификатов кредитных организаций регистрирующий орган выдает банка письмо о регистрации им условий выпуска и одну копию зарегистрированных условий выпуска. </w:t>
      </w:r>
    </w:p>
    <w:p w:rsidR="00A67ADA" w:rsidRDefault="00A67ADA"/>
    <w:p w:rsidR="00A67ADA" w:rsidRDefault="00A67ADA">
      <w:pPr>
        <w:pStyle w:val="4"/>
      </w:pPr>
      <w:r>
        <w:t>Порядок выпуска собственных векселей</w:t>
      </w:r>
    </w:p>
    <w:p w:rsidR="00A67ADA" w:rsidRDefault="00A67ADA">
      <w:r>
        <w:t xml:space="preserve">Векселя банка позволяют увеличить объем собственных средств, а его клиент получает универсальное платежное средство. Банковский вексель удостоверяет, что юридическое и физическое лицо внесло в банк депозит, в сумме и в валюте указанной на векселе. Банк в свою очередь обязуется погасить такой вексель при предъявлении его в установленный срок. </w:t>
      </w:r>
    </w:p>
    <w:p w:rsidR="00A67ADA" w:rsidRDefault="00A67ADA">
      <w:r>
        <w:t xml:space="preserve">Векселя могут продаваться с дисконтом или по номиналу: </w:t>
      </w:r>
    </w:p>
    <w:p w:rsidR="00A67ADA" w:rsidRDefault="00A67ADA">
      <w:pPr>
        <w:pStyle w:val="a"/>
      </w:pPr>
      <w:r>
        <w:t xml:space="preserve">при продаже с дисконтом – сумма дисконта будет являться доходом векселедержателя; </w:t>
      </w:r>
    </w:p>
    <w:p w:rsidR="00A67ADA" w:rsidRDefault="00A67ADA">
      <w:pPr>
        <w:pStyle w:val="a"/>
      </w:pPr>
      <w:r>
        <w:t xml:space="preserve">при продаже по номиналу – начисленный процент также будет являться доходом. </w:t>
      </w:r>
    </w:p>
    <w:p w:rsidR="00A67ADA" w:rsidRDefault="00A67ADA">
      <w:r>
        <w:t xml:space="preserve">Вексель может использоваться векселедержателем для расчетов по любым видам платежей, а также передаваться. Передача векселя оформляется индоссаментом (передаточная подпись на обороте векселя), или листом, который выпускается дополнительно к векселю (алонж). </w:t>
      </w:r>
    </w:p>
    <w:p w:rsidR="00A67ADA" w:rsidRDefault="00A67ADA">
      <w:r>
        <w:t xml:space="preserve">При выпуске собственных векселей коммерческий банк разрабатывает "Положение о выпуске, обращении и погашение векселя". </w:t>
      </w:r>
    </w:p>
    <w:p w:rsidR="00A67ADA" w:rsidRDefault="00A67ADA">
      <w:r>
        <w:t xml:space="preserve">При этом банк должен учитывать следующее: </w:t>
      </w:r>
    </w:p>
    <w:p w:rsidR="00A67ADA" w:rsidRDefault="00A67ADA">
      <w:r>
        <w:t xml:space="preserve">Положение "О выпуске…" не должно противоречить положению "О простом и переводном векселе"; </w:t>
      </w:r>
    </w:p>
    <w:p w:rsidR="00A67ADA" w:rsidRDefault="00A67ADA">
      <w:r>
        <w:t xml:space="preserve">Должны оговариваться условия, на которых клиент может предъявить вексель к оплате; </w:t>
      </w:r>
    </w:p>
    <w:p w:rsidR="00A67ADA" w:rsidRDefault="00A67ADA">
      <w:r>
        <w:t xml:space="preserve">Содержание условий не должно противоречить тексту векселя. </w:t>
      </w:r>
    </w:p>
    <w:p w:rsidR="00A67ADA" w:rsidRDefault="00A67ADA">
      <w:r>
        <w:t xml:space="preserve">Большинство банков, выпуская собственные векселя, оформляет их типографическим способом. Образцы бланков утверждаются Постановлением Правительства Российской Федерации. Формы и защитные характеристики должны соответствовать указанным в сертификате качества ценных бумаг. </w:t>
      </w:r>
    </w:p>
    <w:p w:rsidR="00A67ADA" w:rsidRDefault="00A67ADA">
      <w:r>
        <w:t xml:space="preserve">Вексель должен содержать следующие реквизиты: </w:t>
      </w:r>
    </w:p>
    <w:p w:rsidR="00A67ADA" w:rsidRDefault="00A67ADA">
      <w:pPr>
        <w:pStyle w:val="a"/>
      </w:pPr>
      <w:r>
        <w:t xml:space="preserve">вексельная метка; </w:t>
      </w:r>
    </w:p>
    <w:p w:rsidR="00A67ADA" w:rsidRDefault="00A67ADA">
      <w:pPr>
        <w:pStyle w:val="a"/>
      </w:pPr>
      <w:r>
        <w:t xml:space="preserve">обязательство произвести платеж опред. суммы денег; </w:t>
      </w:r>
    </w:p>
    <w:p w:rsidR="00A67ADA" w:rsidRDefault="00A67ADA">
      <w:pPr>
        <w:pStyle w:val="a"/>
      </w:pPr>
      <w:r>
        <w:t xml:space="preserve">указание срока платежа; </w:t>
      </w:r>
    </w:p>
    <w:p w:rsidR="00A67ADA" w:rsidRDefault="00A67ADA">
      <w:pPr>
        <w:pStyle w:val="a"/>
      </w:pPr>
      <w:r>
        <w:t xml:space="preserve">указание места, в котором должен быть совершен платеж; </w:t>
      </w:r>
    </w:p>
    <w:p w:rsidR="00A67ADA" w:rsidRDefault="00A67ADA">
      <w:pPr>
        <w:pStyle w:val="a"/>
      </w:pPr>
      <w:r>
        <w:t xml:space="preserve">наименование лица, кому или по приказу кого должен быть совершен платеж; </w:t>
      </w:r>
    </w:p>
    <w:p w:rsidR="00A67ADA" w:rsidRDefault="00A67ADA">
      <w:pPr>
        <w:pStyle w:val="a"/>
      </w:pPr>
      <w:r>
        <w:t xml:space="preserve">указание места и даты составления векселя; </w:t>
      </w:r>
    </w:p>
    <w:p w:rsidR="00A67ADA" w:rsidRDefault="00A67ADA">
      <w:pPr>
        <w:pStyle w:val="a"/>
      </w:pPr>
      <w:r>
        <w:t xml:space="preserve">подпись векселедателя. </w:t>
      </w:r>
    </w:p>
    <w:p w:rsidR="00A67ADA" w:rsidRDefault="00A67ADA">
      <w:r>
        <w:t xml:space="preserve">Отсутствие какого-либо реквизита (дефект) делает вексель недействительным. </w:t>
      </w:r>
    </w:p>
    <w:p w:rsidR="00A67ADA" w:rsidRDefault="00A67ADA">
      <w:r>
        <w:t>Налогообложение операций, связанных с выпуском ценных бумаг</w:t>
      </w:r>
    </w:p>
    <w:p w:rsidR="00A67ADA" w:rsidRDefault="00A67ADA">
      <w:r>
        <w:t xml:space="preserve">Объектом налогообложения при выпуске акций и облигаций является номинальная сумма выпуска ценных бумаг, заявленная банком – эмитентом. </w:t>
      </w:r>
    </w:p>
    <w:p w:rsidR="00A67ADA" w:rsidRDefault="00A67ADA">
      <w:r>
        <w:t xml:space="preserve">Объектом обложения данным видом налога не является: </w:t>
      </w:r>
    </w:p>
    <w:p w:rsidR="00A67ADA" w:rsidRDefault="00A67ADA">
      <w:pPr>
        <w:pStyle w:val="a"/>
      </w:pPr>
      <w:r>
        <w:t xml:space="preserve">номинальная сумма выпуска ценных бумаг акционерных банков, осуществляющих первичную эмиссию ценных бумаг; </w:t>
      </w:r>
    </w:p>
    <w:p w:rsidR="00A67ADA" w:rsidRDefault="00A67ADA">
      <w:pPr>
        <w:pStyle w:val="a"/>
      </w:pPr>
      <w:r>
        <w:t xml:space="preserve">номинальная сумма выпуска ценных бумаг акционерных банков, осуществляющих увеличение уставного капитала на величину переоценок основных фондов, производимых по решению Правительства Российской Федерации; </w:t>
      </w:r>
    </w:p>
    <w:p w:rsidR="00A67ADA" w:rsidRDefault="00A67ADA">
      <w:pPr>
        <w:pStyle w:val="a"/>
      </w:pPr>
      <w:r>
        <w:t xml:space="preserve">номинальная сумма выпуска ценных бумаг акционерного банка, образованного в результате реорганизации в форме слияния, разделения или выделения акционерных обществ; </w:t>
      </w:r>
    </w:p>
    <w:p w:rsidR="00A67ADA" w:rsidRDefault="00A67ADA">
      <w:pPr>
        <w:pStyle w:val="a"/>
      </w:pPr>
      <w:r>
        <w:t xml:space="preserve">номинальная сумма выпуска ценных бумаг акционерного банка, конвертируемых в акции акционерного банка, к которому осуществляется присоединение, не превышающая размера уставного капитала присоединяемого акционерного банка; </w:t>
      </w:r>
    </w:p>
    <w:p w:rsidR="00A67ADA" w:rsidRDefault="00A67ADA">
      <w:pPr>
        <w:pStyle w:val="a"/>
      </w:pPr>
      <w:r>
        <w:t xml:space="preserve">номинальная сумма выпуска ценных бумаг акционерного банка при консолидации или дроблении размещенных ранее акций без изменения размера уставного капитала акционерного банка; </w:t>
      </w:r>
    </w:p>
    <w:p w:rsidR="00A67ADA" w:rsidRDefault="00A67ADA">
      <w:pPr>
        <w:pStyle w:val="a"/>
      </w:pPr>
      <w:r>
        <w:t xml:space="preserve">номинальная сумма выпуска ценных бумаг акционерного банка при конвертации размещенных ранее акций одного типа в акции другого типа без изменения размера уставного капитала акционерного банка; </w:t>
      </w:r>
    </w:p>
    <w:p w:rsidR="00A67ADA" w:rsidRDefault="00A67ADA">
      <w:pPr>
        <w:pStyle w:val="a"/>
      </w:pPr>
      <w:r>
        <w:t xml:space="preserve">номинальная сумма выпуска ценных бумаг акционерного банка в случае уменьшения им своего уставного капитала путем уменьшения номинальной стоимости акций. </w:t>
      </w:r>
    </w:p>
    <w:p w:rsidR="00A67ADA" w:rsidRDefault="00A67ADA">
      <w:r>
        <w:t xml:space="preserve">Налог на операции с ценными бумагами взимается в размере 0,8% номинальной суммы выпуска. В случае отказа в регистрации эмиссии налог не возвращается. </w:t>
      </w:r>
    </w:p>
    <w:p w:rsidR="00A67ADA" w:rsidRDefault="00A67ADA">
      <w:r>
        <w:t xml:space="preserve">Банк-эмитент исчисляет сумму налога самостоятельно, исходя из номинальной суммы выпуска и соответствующей налоговой ставки. Налог на операции с ценными бумагами, осуществленные в иностранной валюте, исчисляется в рублях в пересчете по курсу, устанавливаемому ЦБ РФ и действующему на дату регистрации эмиссии. Сумма налога уплачивается плательщиком одновременно с представлением документов на регистрацию эмиссии и перечисляется в федеральный бюджет. </w:t>
      </w:r>
    </w:p>
    <w:p w:rsidR="00A67ADA" w:rsidRDefault="00A67ADA">
      <w:pPr>
        <w:pStyle w:val="4"/>
      </w:pPr>
    </w:p>
    <w:p w:rsidR="00A67ADA" w:rsidRDefault="00A67ADA">
      <w:pPr>
        <w:pStyle w:val="4"/>
      </w:pPr>
      <w:r>
        <w:t>Оплата неоплаченной части размещенных акций</w:t>
      </w:r>
    </w:p>
    <w:p w:rsidR="00A67ADA" w:rsidRDefault="00A67ADA">
      <w:r>
        <w:t xml:space="preserve">Размещенные акции, за исключением акций, выпускаемых при учреждении банка и реорганизации, должны быть оплачены в течение срока, определенного в соответствии с решением об их размещении, но не позднее одного года с момента их приобретения. Доплата за акции, которая поступает в течение этого срока, сразу зачисляется банком - эмитентом в уставный капитал. В случае неполной оплаты акций в установленные сроки, они поступают в распоряжение банка - эмитента. </w:t>
      </w:r>
    </w:p>
    <w:p w:rsidR="00A67ADA" w:rsidRDefault="00A67ADA">
      <w:r>
        <w:t xml:space="preserve">Акции первого выпуска при учреждении банка и преобразовании банка из ООО в АО должны быть полностью оплачены в течение месяца с момента регистрации банка. Такие акции должны быть размещены не позднее одного года с момента их поступления в распоряжение банка, в противном случае общее собрание акционеров должно принять решение об уменьшении уставного капитала банка путем погашения указанных акций. Неоплата или неполная оплата акций первого выпуска при учреждении банка в установленный срок является основанием для аннулирования свидетельства о государственной регистрации банка и отказа в регистрации итогов первого выпуска акций банка. </w:t>
      </w:r>
    </w:p>
    <w:p w:rsidR="00A67ADA" w:rsidRDefault="00A67ADA">
      <w:pPr>
        <w:pStyle w:val="4"/>
      </w:pPr>
    </w:p>
    <w:p w:rsidR="00A67ADA" w:rsidRDefault="00A67ADA">
      <w:pPr>
        <w:pStyle w:val="4"/>
      </w:pPr>
      <w:r>
        <w:t xml:space="preserve">Внесение изменений и дополнений в регистрационные документы </w:t>
      </w:r>
    </w:p>
    <w:p w:rsidR="00A67ADA" w:rsidRDefault="00A67ADA">
      <w:pPr>
        <w:pStyle w:val="4"/>
      </w:pPr>
      <w:r>
        <w:t>выпусков ценных бумаг</w:t>
      </w:r>
    </w:p>
    <w:p w:rsidR="00A67ADA" w:rsidRDefault="00A67ADA">
      <w:r>
        <w:t xml:space="preserve">Изменение условий выпуска ценных бумаг после регистрации решения об их выпуске допускается в исключительных случаях после проведения анализа необходимости внесения этих изменений и последствий, которые могут возникнуть после их регистрации. Регистрирующий орган может потребовать внесения изменений в регистрационные документы при обнаружении в данных документах недостоверной информации или ошибок технического характера, а также в случае нарушения эмитентом в ходе эмиссии ценных бумаг требований действующего законодательства Российской Федерации. </w:t>
      </w:r>
    </w:p>
    <w:p w:rsidR="00A67ADA" w:rsidRDefault="00A67ADA">
      <w:r>
        <w:t xml:space="preserve">Не допускается внесение изменений и дополнений в решение о выпуске и проспект эмиссии ценных бумаг в части объема прав по одной эмиссионной ценной бумаге, установленного этим решением и проспектом эмиссии. Решение о внесении изменений и дополнений в регистрационные документы выпуска ценных бумаг принимается уполномоченным органом управления банка-эмитента. Все изменения и дополнения к регистрационным документам выпусков должны быть зарегистрированы Банком России. </w:t>
      </w:r>
    </w:p>
    <w:p w:rsidR="00A67ADA" w:rsidRDefault="00A67ADA">
      <w:r>
        <w:t xml:space="preserve">Для регистрации изменений и дополнений в регистрационные документы выпуска в регистрирующий орган банк-эмитент должен представить следующие документы: </w:t>
      </w:r>
    </w:p>
    <w:p w:rsidR="00A67ADA" w:rsidRDefault="00A67ADA">
      <w:pPr>
        <w:pStyle w:val="a"/>
      </w:pPr>
      <w:r>
        <w:t xml:space="preserve">протокол собрания органа управления банка, на котором было принято решение о внесении изменений и дополнений в регистрационные документы выпуска; </w:t>
      </w:r>
    </w:p>
    <w:p w:rsidR="00A67ADA" w:rsidRDefault="00A67ADA">
      <w:pPr>
        <w:pStyle w:val="a"/>
      </w:pPr>
      <w:r>
        <w:t xml:space="preserve">заявление на внесение изменений и дополнений в 3-х экземплярах в случае, если документы подаются на регистрацию в Департамент контроля, или в 4-х экземплярах – если документы подаются в территориальное учреждение Банка России; </w:t>
      </w:r>
    </w:p>
    <w:p w:rsidR="00A67ADA" w:rsidRDefault="00A67ADA">
      <w:pPr>
        <w:pStyle w:val="a"/>
      </w:pPr>
      <w:r>
        <w:t xml:space="preserve">изменения и дополнения, вносимые в регистрационные документы выпусков в 3-х экземплярах в случае, если документы подаются на регистрацию в Департамент контроля, или в 4-х экземплярах – если документы подаются в территориальное учреждение Банка России. </w:t>
      </w:r>
    </w:p>
    <w:p w:rsidR="00A67ADA" w:rsidRDefault="00A67ADA">
      <w:r>
        <w:t xml:space="preserve">При внесении изменений и дополнений в решение о выпуске ценных бумаг в проспект эмиссии эмиссия ценных бумаг должна быть приостановлена до регистрации данных изменений и дополнений регистрирующим органом. </w:t>
      </w:r>
    </w:p>
    <w:p w:rsidR="00A67ADA" w:rsidRDefault="00A67ADA">
      <w:r>
        <w:t xml:space="preserve">Регистрирующий орган вносит изменения и дополнения в регистрационные документы выпусков и выдает банку-эмитенту по два экземпляра зарегистрированных заявлений на внесение изменений и дополнений и зарегистрированных изменений и дополнений. </w:t>
      </w:r>
    </w:p>
    <w:p w:rsidR="00A67ADA" w:rsidRDefault="00A67ADA">
      <w:r>
        <w:t xml:space="preserve">Если регистрация изменений и дополнений в регистрационные документы выпуска ценных бумаг осуществляется территориальными учреждениями Банка России, то не позднее следующего дня с даты регистрации данных изменений и дополнений территориальное учреждение направляет в Департамент по одному экземпляру зарегистрированных заявлений на внесение изменений и дополнений. </w:t>
      </w:r>
    </w:p>
    <w:p w:rsidR="00A67ADA" w:rsidRDefault="00A67ADA">
      <w:r>
        <w:t>Основания для приостановления эмиссии ценных бумаг и признания выпуска несостоявшимся</w:t>
      </w:r>
    </w:p>
    <w:p w:rsidR="00A67ADA" w:rsidRDefault="00A67ADA">
      <w:r>
        <w:t xml:space="preserve">В ходе размещения ценных бумаг регистрирующий орган принимает жалобы и протесты потенциальных покупателей ценных бумаг, участников процесса размещения на нарушение банком-эмитентом или его представителями действующего законодательства Российской Федерации. Эмиссия ценных бумаг может быть приостановлена, а выпуск ценных бумаг признан несостоявшимся регистрирующим органом на любом этапе процедуры эмиссии ценных бумаг до даты регистрации отчета об итогах выпуска этих ценных бумаг. </w:t>
      </w:r>
    </w:p>
    <w:p w:rsidR="00A67ADA" w:rsidRDefault="00A67ADA">
      <w:r>
        <w:t xml:space="preserve">Департамент контроля вправе приостановить эмиссию ценных бумаг и признать несостоявшимся выпуск ценных бумаг, государственная регистрация которого осуществлена иным регистрирующим органом с уведомлением этого регистрирующего органа. </w:t>
      </w:r>
    </w:p>
    <w:p w:rsidR="00A67ADA" w:rsidRDefault="00A67ADA">
      <w:r>
        <w:t xml:space="preserve">Регистрирующий орган вправе приостановить процесс размещения ценных бумаг банком в случаях: </w:t>
      </w:r>
    </w:p>
    <w:p w:rsidR="00A67ADA" w:rsidRDefault="00A67ADA">
      <w:pPr>
        <w:pStyle w:val="a"/>
      </w:pPr>
      <w:r>
        <w:t xml:space="preserve">нарушения эмитентом в ходе эмиссии ценных бумаг требований законодательства Российской Федерации, нормативных актов, а также условий размещения, установленных в решении о выпуске и проспекте эмиссии; </w:t>
      </w:r>
    </w:p>
    <w:p w:rsidR="00A67ADA" w:rsidRDefault="00A67ADA">
      <w:pPr>
        <w:pStyle w:val="a"/>
      </w:pPr>
      <w:r>
        <w:t xml:space="preserve">обнаружения в документах недостоверной информации; </w:t>
      </w:r>
    </w:p>
    <w:p w:rsidR="00A67ADA" w:rsidRDefault="00A67ADA">
      <w:pPr>
        <w:pStyle w:val="a"/>
      </w:pPr>
      <w:r>
        <w:t xml:space="preserve">нарушения порядка ведения реестра владельцев именных ценных бумаг; </w:t>
      </w:r>
    </w:p>
    <w:p w:rsidR="00A67ADA" w:rsidRDefault="00A67ADA">
      <w:pPr>
        <w:pStyle w:val="a"/>
      </w:pPr>
      <w:r>
        <w:t xml:space="preserve">в иных случаях. </w:t>
      </w:r>
    </w:p>
    <w:p w:rsidR="00A67ADA" w:rsidRDefault="00A67ADA">
      <w:r>
        <w:t xml:space="preserve">Регистрирующий орган уведомляет о приостановлении эмиссии ценных бумаг: </w:t>
      </w:r>
    </w:p>
    <w:p w:rsidR="00A67ADA" w:rsidRDefault="00A67ADA">
      <w:pPr>
        <w:pStyle w:val="a"/>
      </w:pPr>
      <w:r>
        <w:t xml:space="preserve">банка-эмитента; </w:t>
      </w:r>
    </w:p>
    <w:p w:rsidR="00A67ADA" w:rsidRDefault="00A67ADA">
      <w:pPr>
        <w:pStyle w:val="a"/>
      </w:pPr>
      <w:r>
        <w:t xml:space="preserve">андеррайтера (посредника при размещении) ценных бумаг, эмиссия которых приостановлена; </w:t>
      </w:r>
    </w:p>
    <w:p w:rsidR="00A67ADA" w:rsidRDefault="00A67ADA">
      <w:pPr>
        <w:pStyle w:val="a"/>
      </w:pPr>
      <w:r>
        <w:t xml:space="preserve">регистратора, осуществляющего ведение реестра владельцев именных ценных бумаг, эмиссия которых приостановлена. </w:t>
      </w:r>
    </w:p>
    <w:p w:rsidR="00A67ADA" w:rsidRDefault="00A67ADA">
      <w:r>
        <w:t xml:space="preserve">Уведомление о приостановлении эмиссии ценных бумаг осуществляется в срок не позднее следующего дня после даты принятия решения о приостановлении эмиссии ценных бумаг с обязательным направлением письменного подтверждения в срок не позднее трех дней с даты принятия такого решения (последующее уведомление). Уведомление о приостановлении эмиссии ценных бумаг должно содержать следующие сведения: </w:t>
      </w:r>
    </w:p>
    <w:p w:rsidR="00A67ADA" w:rsidRDefault="00A67ADA">
      <w:pPr>
        <w:pStyle w:val="a"/>
      </w:pPr>
      <w:r>
        <w:t xml:space="preserve">наименование органа, принявшего решение о приостановлении эмиссии; </w:t>
      </w:r>
    </w:p>
    <w:p w:rsidR="00A67ADA" w:rsidRDefault="00A67ADA">
      <w:pPr>
        <w:pStyle w:val="a"/>
      </w:pPr>
      <w:r>
        <w:t xml:space="preserve">дату принятия решения о приостановлении эмиссии ценных бумаг; </w:t>
      </w:r>
    </w:p>
    <w:p w:rsidR="00A67ADA" w:rsidRDefault="00A67ADA">
      <w:pPr>
        <w:pStyle w:val="a"/>
      </w:pPr>
      <w:r>
        <w:t xml:space="preserve">полное наименование банка-эмитента ценных бумаг; </w:t>
      </w:r>
    </w:p>
    <w:p w:rsidR="00A67ADA" w:rsidRDefault="00A67ADA">
      <w:pPr>
        <w:pStyle w:val="a"/>
      </w:pPr>
      <w:r>
        <w:t xml:space="preserve">вид, категорию (тип), форму ценных бумаг, их государственный регистрационный номер, орган, осуществивший государственную регистрацию выпуска ценных бумаг, эмиссия которых приостановлена; </w:t>
      </w:r>
    </w:p>
    <w:p w:rsidR="00A67ADA" w:rsidRDefault="00A67ADA">
      <w:pPr>
        <w:pStyle w:val="a"/>
      </w:pPr>
      <w:r>
        <w:t xml:space="preserve">основания приостановления эмиссии ценных бумаг; </w:t>
      </w:r>
    </w:p>
    <w:p w:rsidR="00A67ADA" w:rsidRDefault="00A67ADA">
      <w:r>
        <w:t xml:space="preserve">Эмиссия ценных бумаг может быть возобновлена по письменному разрешению регистрирующего органа. Департамент контроля вправе возобновить эмиссию, решение о приостановлении которой принято другим регистрирующим органом с уведомлением последнего. Уведомление о разрешении возобновления эмиссии ценных бумаг направляется в письменном виде в срок не позднее трех дней с момента принятия решения в Федеральную комиссию по рынку ценных бумаг и лицам: </w:t>
      </w:r>
    </w:p>
    <w:p w:rsidR="00A67ADA" w:rsidRDefault="00A67ADA">
      <w:pPr>
        <w:pStyle w:val="a"/>
      </w:pPr>
      <w:r>
        <w:t xml:space="preserve">банку-эмитента; </w:t>
      </w:r>
    </w:p>
    <w:p w:rsidR="00A67ADA" w:rsidRDefault="00A67ADA">
      <w:pPr>
        <w:pStyle w:val="a"/>
      </w:pPr>
      <w:r>
        <w:t xml:space="preserve">андеррайтеру ценных бумаг, эмиссия которых приостановлена; </w:t>
      </w:r>
    </w:p>
    <w:p w:rsidR="00A67ADA" w:rsidRDefault="00A67ADA">
      <w:pPr>
        <w:pStyle w:val="a"/>
      </w:pPr>
      <w:r>
        <w:t xml:space="preserve">регистратору, осуществляющего ведение реестра владельцев именных ценных бумаг, эмиссия которых приостановлена. </w:t>
      </w:r>
    </w:p>
    <w:p w:rsidR="00A67ADA" w:rsidRDefault="00A67ADA">
      <w:r>
        <w:t xml:space="preserve">Письменное уведомление о разрешении возобновления эмиссии ценных бумаг должно содержать: </w:t>
      </w:r>
    </w:p>
    <w:p w:rsidR="00A67ADA" w:rsidRDefault="00A67ADA">
      <w:pPr>
        <w:pStyle w:val="a"/>
      </w:pPr>
      <w:r>
        <w:t xml:space="preserve">наименование регистрирующего органа; </w:t>
      </w:r>
    </w:p>
    <w:p w:rsidR="00A67ADA" w:rsidRDefault="00A67ADA">
      <w:pPr>
        <w:pStyle w:val="a"/>
      </w:pPr>
      <w:r>
        <w:t xml:space="preserve">дату принятия решения о возобновлении эмиссии ценных бумаг; </w:t>
      </w:r>
    </w:p>
    <w:p w:rsidR="00A67ADA" w:rsidRDefault="00A67ADA">
      <w:pPr>
        <w:pStyle w:val="a"/>
      </w:pPr>
      <w:r>
        <w:t xml:space="preserve">полное наименование банка-эмитента ценных бумаг, эмиссия которых возобновлена; </w:t>
      </w:r>
    </w:p>
    <w:p w:rsidR="00A67ADA" w:rsidRDefault="00A67ADA">
      <w:pPr>
        <w:pStyle w:val="a"/>
      </w:pPr>
      <w:r>
        <w:t xml:space="preserve">вид, категорию (тип), форму ценных бумаг, регистрирующий орган; </w:t>
      </w:r>
    </w:p>
    <w:p w:rsidR="00A67ADA" w:rsidRDefault="00A67ADA">
      <w:pPr>
        <w:pStyle w:val="a"/>
      </w:pPr>
      <w:r>
        <w:t xml:space="preserve">указание на прекращение действия ограничений. </w:t>
      </w:r>
    </w:p>
    <w:p w:rsidR="00A67ADA" w:rsidRDefault="00A67ADA">
      <w:r>
        <w:t xml:space="preserve">Регистрирующий орган, принявший решение о возобновлении эмиссии ценных бумаг, в течение пяти дней с даты принятия данного решения раскрывает информацию об этом в средствах массовой информации. </w:t>
      </w:r>
    </w:p>
    <w:p w:rsidR="00A67ADA" w:rsidRDefault="00A67ADA">
      <w:r>
        <w:t xml:space="preserve">Территориальное учреждение Банка России, принявшее решение о приостановлении или возобновлении эмиссии, не позднее следующего дня со дня вынесения соответствующего решения обязано направить копию письменного уведомления о приостановлении эмиссии ценных бумаг или возобновлении эмиссии ценных бумаг в Департамент контроля. </w:t>
      </w:r>
    </w:p>
    <w:p w:rsidR="00A67ADA" w:rsidRDefault="00A67ADA">
      <w:r>
        <w:t xml:space="preserve">Регистрирующий орган вправе отказать в регистрации отчета об итогах выпуска ценных бумаг, что означает признание выпуска несостоявшимся и аннулирование государственной регистрации самого выпуска, если: </w:t>
      </w:r>
    </w:p>
    <w:p w:rsidR="00A67ADA" w:rsidRDefault="00A67ADA">
      <w:pPr>
        <w:pStyle w:val="a"/>
      </w:pPr>
      <w:r>
        <w:t xml:space="preserve">решение о признании выпуска несостоявшимся принято самим банком-эмитентом исходя из неудовлетворяющих ее итогов выпуска; </w:t>
      </w:r>
    </w:p>
    <w:p w:rsidR="00A67ADA" w:rsidRDefault="00A67ADA">
      <w:pPr>
        <w:pStyle w:val="a"/>
      </w:pPr>
      <w:r>
        <w:t xml:space="preserve">отчет об итогах выпуска не представлен на регистрацию в установл. срок; </w:t>
      </w:r>
    </w:p>
    <w:p w:rsidR="00A67ADA" w:rsidRDefault="00A67ADA">
      <w:pPr>
        <w:pStyle w:val="a"/>
      </w:pPr>
      <w:r>
        <w:t xml:space="preserve">информация, изложенная в отчете об итогах выпуска, а также полученная регистрирующим органом в процессе размещения ценных бумаг, указывает на нарушение действующего законодательства Российской Федерации, банковских правил в процессе осуществления банком-эмитентом выпуска ценных бумаг; </w:t>
      </w:r>
    </w:p>
    <w:p w:rsidR="00A67ADA" w:rsidRDefault="00A67ADA">
      <w:pPr>
        <w:pStyle w:val="a"/>
      </w:pPr>
      <w:r>
        <w:t xml:space="preserve">банк-эмитент имеет реально оплаченную долю выпуска акций неполную; </w:t>
      </w:r>
    </w:p>
    <w:p w:rsidR="00A67ADA" w:rsidRDefault="00A67ADA">
      <w:pPr>
        <w:pStyle w:val="a"/>
      </w:pPr>
      <w:r>
        <w:t xml:space="preserve">отчет об итогах выпуска составлен неполно, с нарушением формы. </w:t>
      </w:r>
    </w:p>
    <w:p w:rsidR="00A67ADA" w:rsidRDefault="00A67ADA">
      <w:r>
        <w:t xml:space="preserve">Не позднее следующего дня с даты принятия решения о признании выпуска несостоявшимся и аннулировании его государственной регистрации уведомление об этом доводится регистрирующим органом до банка-эмитента (предварительное уведомление) с обязательным направлением письменного подтверждения в срок не позднее трех дней с даты принятия такого решения (последующее уведомление), копии направляются в Департамент контроля. </w:t>
      </w:r>
    </w:p>
    <w:p w:rsidR="00A67ADA" w:rsidRDefault="00A67ADA">
      <w:r>
        <w:t xml:space="preserve">Признание выпуска ценных бумаг несостоявшимся или недействительным влечет за собой аннулирование государственной регистрации выпуска. </w:t>
      </w:r>
    </w:p>
    <w:p w:rsidR="00A67ADA" w:rsidRDefault="00A67ADA">
      <w:r>
        <w:t xml:space="preserve">Регистрирующий орган в срок не позднее пяти дней с момента аннулирования государственной регистрации выпуска ценных бумаг раскрывает информацию об этом в средствах массовой информации. </w:t>
      </w:r>
    </w:p>
    <w:p w:rsidR="00A67ADA" w:rsidRDefault="00A67ADA">
      <w:r>
        <w:t xml:space="preserve">Признание выпуска ценных бумаг несостоявшимся влечет изъятие из обращения ценных бумаг данного выпуска и возвращение владельцам денежных средств, полученных банком-эмитентом в счет оплаты ценных бумаг. </w:t>
      </w:r>
    </w:p>
    <w:p w:rsidR="00A67ADA" w:rsidRDefault="00A67ADA">
      <w:r>
        <w:t xml:space="preserve">Средства, находящиеся на накопительном счете банка-эмитента в Банке России, а также на валютных счетах, перечисляются самим банком-эмитентом или его учредителями в адреса тех лиц, которые внесли эти средства в процессе размещения ценных бумаг. При отказе в регистрации итогов выпуска ценных бумаг регистрирующий орган оставляет у себя по одному экземпляру каждого документа, возвращая оставшиеся документы банка - эмитенту. </w:t>
      </w:r>
    </w:p>
    <w:p w:rsidR="00A67ADA" w:rsidRDefault="00A67ADA">
      <w:r>
        <w:t xml:space="preserve">Издержки, связанные с признанием выпуска ценных бумаг несостоявшимся и возвратом средств их владельцам, относятся на счет банка - эмитента и отражаются по балансовому счету второго порядка 70209 "Другие расходы". </w:t>
      </w:r>
    </w:p>
    <w:p w:rsidR="00A67ADA" w:rsidRDefault="00A67ADA">
      <w:pPr>
        <w:pStyle w:val="4"/>
      </w:pPr>
      <w:r>
        <w:br w:type="page"/>
        <w:t>Составление ежеквартального отчета по ценным бумагам</w:t>
      </w:r>
    </w:p>
    <w:p w:rsidR="00A67ADA" w:rsidRDefault="00A67ADA">
      <w:r>
        <w:t xml:space="preserve">Банки – открытые акционерные общества, а также закрытые акционерные общества, если число акционеров (участников) такого общества превышает 50 лиц, в </w:t>
      </w:r>
    </w:p>
    <w:p w:rsidR="00A67ADA" w:rsidRDefault="00A67ADA">
      <w:r>
        <w:t xml:space="preserve">случае, когда хотя бы один из выпусков их ценных бумаг, находящихся в обращении, сопровождался регистрацией проспекта эмиссии, а также ЗАО с числом акционеров менее 50 или равным 50, и ООО, осуществившие хотя бы одну открытую подписку на находящиеся в обращении облигации, которая сопровождалась регистрацией проспекта эмиссии, обязаны представлять в регистрирующий орган, утвержденный уполномоченным органом банка - эмитента ежеквартальный отчет по ценным бумагам, который составляется по форме. На магнитном носителе должна быть представлена вся информация. </w:t>
      </w:r>
    </w:p>
    <w:p w:rsidR="00A67ADA" w:rsidRDefault="00A67ADA">
      <w:r>
        <w:t xml:space="preserve">Ежеквартальный отчет представляется по итогам каждого квартала не позднее 30 дней после его окончания. В Департамент контроля ежеквартальный отчет по ценным бумагам представляется в двух экземплярах. В территориальные учреждения Банка России отчет представляется в трех экземплярах, один из которых не позднее следующего дня после регистрации направляется в Департамент контроля. </w:t>
      </w:r>
    </w:p>
    <w:p w:rsidR="00A67ADA" w:rsidRDefault="00A67ADA">
      <w:r>
        <w:t xml:space="preserve">Регистрирующий орган рассматривает ежеквартальный отчет в течение двух месяцев с момента представления и принимает решение о регистрации отчета или направляет отчет на доработку. Доработанный ежеквартальный отчет должен быть представлен в регистрирующий орган в течение срока, определенного регистрирующим органом. </w:t>
      </w:r>
    </w:p>
    <w:p w:rsidR="00A67ADA" w:rsidRDefault="00A67ADA">
      <w:r>
        <w:t xml:space="preserve">Непредставление ежеквартального отчета в регистрирующий орган в течение указанного срока, представление его не по форме, несоблюдение срока представления доработанных документов являются основанием для отказа в государственной регистрации выпусков ценных бумаг. </w:t>
      </w:r>
    </w:p>
    <w:p w:rsidR="00A67ADA" w:rsidRDefault="00A67ADA">
      <w:pPr>
        <w:pStyle w:val="3"/>
      </w:pPr>
      <w:r>
        <w:br w:type="page"/>
      </w:r>
      <w:bookmarkStart w:id="7" w:name="_Toc218798757"/>
      <w:r>
        <w:t>2.2. Процедура выпуска ценных бумаг</w:t>
      </w:r>
      <w:bookmarkEnd w:id="7"/>
    </w:p>
    <w:p w:rsidR="00A67ADA" w:rsidRDefault="00A67ADA">
      <w:pPr>
        <w:pStyle w:val="3"/>
      </w:pPr>
    </w:p>
    <w:p w:rsidR="00A67ADA" w:rsidRDefault="00A67ADA">
      <w:r>
        <w:t xml:space="preserve">Если регистрация эмиссии ценных бумаг производится без регистрации проспекта эмиссии, процедура эмиссии включает в себя следующие этапы: </w:t>
      </w:r>
    </w:p>
    <w:p w:rsidR="00A67ADA" w:rsidRDefault="00A67ADA">
      <w:r>
        <w:t xml:space="preserve">1) принятие эмитентом решения о выпуске; </w:t>
      </w:r>
    </w:p>
    <w:p w:rsidR="00A67ADA" w:rsidRDefault="00A67ADA">
      <w:r>
        <w:t xml:space="preserve">2) регистрация выпуска ценных бумаг; </w:t>
      </w:r>
    </w:p>
    <w:p w:rsidR="00A67ADA" w:rsidRDefault="00A67ADA">
      <w:r>
        <w:t xml:space="preserve">3) изготовление сертификатов ценных бумаг; </w:t>
      </w:r>
    </w:p>
    <w:p w:rsidR="00A67ADA" w:rsidRDefault="00A67ADA">
      <w:r>
        <w:t xml:space="preserve">4) размещение ценных бумаг; </w:t>
      </w:r>
    </w:p>
    <w:p w:rsidR="00A67ADA" w:rsidRDefault="00A67ADA">
      <w:r>
        <w:t xml:space="preserve">5) регистрация отчета об итогах выпуска. </w:t>
      </w:r>
    </w:p>
    <w:p w:rsidR="00A67ADA" w:rsidRDefault="00A67ADA">
      <w:r>
        <w:t xml:space="preserve">Если регистрация эмиссии ценных бумаг банка сопровождается регистрацией проспекта эмиссии, процедура выпуска включает в себя следующие этапы: </w:t>
      </w:r>
    </w:p>
    <w:p w:rsidR="00A67ADA" w:rsidRDefault="00A67ADA">
      <w:r>
        <w:t xml:space="preserve">1) принятие эмитентом решения о выпуске; </w:t>
      </w:r>
    </w:p>
    <w:p w:rsidR="00A67ADA" w:rsidRDefault="00A67ADA">
      <w:r>
        <w:t xml:space="preserve">2) подготовка проспекта эмиссии; </w:t>
      </w:r>
    </w:p>
    <w:p w:rsidR="00A67ADA" w:rsidRDefault="00A67ADA">
      <w:r>
        <w:t xml:space="preserve">3) регистрация выпуска ценных бумаг и проспекта эмиссии; </w:t>
      </w:r>
    </w:p>
    <w:p w:rsidR="00A67ADA" w:rsidRDefault="00A67ADA">
      <w:r>
        <w:t xml:space="preserve">4) раскрытие информации, содержащейся в проспекте эмиссии; </w:t>
      </w:r>
    </w:p>
    <w:p w:rsidR="00A67ADA" w:rsidRDefault="00A67ADA">
      <w:r>
        <w:t xml:space="preserve">5) изготовление сертификатов ценных; </w:t>
      </w:r>
    </w:p>
    <w:p w:rsidR="00A67ADA" w:rsidRDefault="00A67ADA">
      <w:r>
        <w:t xml:space="preserve">6) размещение ценных бумаг; </w:t>
      </w:r>
    </w:p>
    <w:p w:rsidR="00A67ADA" w:rsidRDefault="00A67ADA">
      <w:r>
        <w:t xml:space="preserve">7) регистрация отчета об итогах выпуска; </w:t>
      </w:r>
    </w:p>
    <w:p w:rsidR="00A67ADA" w:rsidRDefault="00A67ADA">
      <w:r>
        <w:t xml:space="preserve">8) раскрытие всей информации, содержащейся в отчете об итогах выпуска. </w:t>
      </w:r>
    </w:p>
    <w:p w:rsidR="00A67ADA" w:rsidRDefault="00A67ADA">
      <w:r>
        <w:t xml:space="preserve">Регистрация выпуска ценных бумаг должна сопровождаться регистрацией проспекта эмиссии, если выполняется хотя бы одно из следующих условий: </w:t>
      </w:r>
    </w:p>
    <w:p w:rsidR="00A67ADA" w:rsidRDefault="00A67ADA">
      <w:pPr>
        <w:pStyle w:val="a"/>
      </w:pPr>
      <w:r>
        <w:t xml:space="preserve">если число владельцев ценных бумаг превышает 500; </w:t>
      </w:r>
    </w:p>
    <w:p w:rsidR="00A67ADA" w:rsidRDefault="00A67ADA">
      <w:pPr>
        <w:pStyle w:val="a"/>
      </w:pPr>
      <w:r>
        <w:t xml:space="preserve">если общий объем эмиссии превышает 50 тысяч МРОТ. </w:t>
      </w:r>
    </w:p>
    <w:p w:rsidR="00A67ADA" w:rsidRDefault="00A67ADA">
      <w:r>
        <w:t xml:space="preserve">Приобретение юридическим или физическим лицом более 5% акций банка требует уведомления Банка России, более 20% – предварительного согласия, данного территориальным учреждением Банка России по местонахождению банка. </w:t>
      </w:r>
    </w:p>
    <w:p w:rsidR="00A67ADA" w:rsidRDefault="00A67ADA">
      <w:r>
        <w:t xml:space="preserve">Предварительное согласие на приобретение более 20% акций банка: </w:t>
      </w:r>
    </w:p>
    <w:p w:rsidR="00A67ADA" w:rsidRDefault="00A67ADA">
      <w:pPr>
        <w:pStyle w:val="a"/>
      </w:pPr>
      <w:r>
        <w:t xml:space="preserve">действующего в форме ЗАО, должно быть получено до регистрации эмиссии; </w:t>
      </w:r>
    </w:p>
    <w:p w:rsidR="00A67ADA" w:rsidRDefault="00A67ADA">
      <w:pPr>
        <w:pStyle w:val="a"/>
      </w:pPr>
      <w:r>
        <w:t xml:space="preserve">действующего в форме ОАО, должно быть получено до заключения договора купли-продажи акций. Банк обязан получать предварительное разрешение на увеличение своего уставного капитала за счет средств нерезидентов независимо от объема акций, предполагаемого для размещения среди них. Данное разрешение выдается Банком России и должно быть получено до банком договоров купли-продажи своих акций нерезидентам. </w:t>
      </w:r>
    </w:p>
    <w:p w:rsidR="00A67ADA" w:rsidRDefault="00A67ADA">
      <w:pPr>
        <w:pStyle w:val="4"/>
      </w:pPr>
    </w:p>
    <w:p w:rsidR="00A67ADA" w:rsidRDefault="00A67ADA">
      <w:pPr>
        <w:pStyle w:val="4"/>
      </w:pPr>
      <w:r>
        <w:t>Решение о выпуске ценных бумаг</w:t>
      </w:r>
    </w:p>
    <w:p w:rsidR="00A67ADA" w:rsidRDefault="00A67ADA">
      <w:r>
        <w:t xml:space="preserve">Решение о выпуске ценных бумаг принимается органом банка, который имеет соответствующие полномочия и должно содержать всю информацию. По каждому выпуску эмиссионных ценных бумаг должно быть зарегистрировано отдельное решение о нем. </w:t>
      </w:r>
    </w:p>
    <w:p w:rsidR="00A67ADA" w:rsidRDefault="00A67ADA">
      <w:r>
        <w:t xml:space="preserve">Зарегистрированные решения о выпуске хранятся: один экземпляр – в регистрирующем органе, второй – у банка-эмитента, третий передается на хранение регистратору. В случае, если выпуск ценных бумаг осуществляется в документарной форме, вместе с решением о выпуске ценных бумаг в регистрирующий орган необходимо представить описание сертификата. </w:t>
      </w:r>
    </w:p>
    <w:p w:rsidR="00A67ADA" w:rsidRDefault="00A67ADA">
      <w:pPr>
        <w:pStyle w:val="4"/>
      </w:pPr>
    </w:p>
    <w:p w:rsidR="00A67ADA" w:rsidRDefault="00A67ADA">
      <w:pPr>
        <w:pStyle w:val="4"/>
      </w:pPr>
      <w:r>
        <w:t>Подготовка проспекта эмиссии</w:t>
      </w:r>
    </w:p>
    <w:p w:rsidR="00A67ADA" w:rsidRDefault="00A67ADA">
      <w:r>
        <w:t xml:space="preserve">Проспект эмиссии готовится и утверждается правлением банка. </w:t>
      </w:r>
    </w:p>
    <w:p w:rsidR="00A67ADA" w:rsidRDefault="00A67ADA">
      <w:r>
        <w:t xml:space="preserve">Проспект эмиссии первого выпуска акций учреждаемого банка готовится ее учредителями, заверяется подписями и печатями уполномоченных учредителями лиц и должен содержать всю информацию. </w:t>
      </w:r>
    </w:p>
    <w:p w:rsidR="00A67ADA" w:rsidRDefault="00A67ADA">
      <w:r>
        <w:t xml:space="preserve">Проспект эмиссии должен быть заверен независимой аудиторской фирмой: </w:t>
      </w:r>
    </w:p>
    <w:p w:rsidR="00A67ADA" w:rsidRDefault="00A67ADA">
      <w:pPr>
        <w:pStyle w:val="a"/>
      </w:pPr>
      <w:r>
        <w:t xml:space="preserve">при выпуске акций: </w:t>
      </w:r>
    </w:p>
    <w:p w:rsidR="00A67ADA" w:rsidRDefault="00A67ADA">
      <w:pPr>
        <w:pStyle w:val="a"/>
      </w:pPr>
      <w:r>
        <w:t xml:space="preserve">связанном с увеличением уставного капитала банка; </w:t>
      </w:r>
    </w:p>
    <w:p w:rsidR="00A67ADA" w:rsidRDefault="00A67ADA">
      <w:pPr>
        <w:pStyle w:val="a"/>
      </w:pPr>
      <w:r>
        <w:t xml:space="preserve">осуществляемом при преобразовании банка из ООО в АО; </w:t>
      </w:r>
    </w:p>
    <w:p w:rsidR="00A67ADA" w:rsidRDefault="00A67ADA">
      <w:pPr>
        <w:pStyle w:val="a"/>
      </w:pPr>
      <w:r>
        <w:t xml:space="preserve">осуществляемом при создании банка путем слияния, разделения и выделения; </w:t>
      </w:r>
    </w:p>
    <w:p w:rsidR="00A67ADA" w:rsidRDefault="00A67ADA">
      <w:pPr>
        <w:pStyle w:val="a"/>
      </w:pPr>
      <w:r>
        <w:t xml:space="preserve">при выпуске облигаций. </w:t>
      </w:r>
    </w:p>
    <w:p w:rsidR="00A67ADA" w:rsidRDefault="00A67ADA">
      <w:r>
        <w:t xml:space="preserve">На титульном листе проспекта эмиссии рядом с печатью аудиторской фирмы должна стоять фраза следующего содержания: "Финансовая информация, содержащаяся в проспекте эмиссии, соответствует данным бухгалтерского учета. Бухгалтерский учет ведется в соответствии с действующими правилами". Если в ходе проверки аудиторской фирмой выявлены нарушения в ведении бухгалтерского учета банка-эмитента, требующие изменения ее финансовой отчетности, представленной в проспекте эмиссии, то в проспект эмиссии должна быть включена исправленная отчетность. В проспект эмиссии в данном случае включается также аудиторское заключение с перечислением всех выявленных нарушений в ведении бухгалтерского учета банка-эмитента. </w:t>
      </w:r>
    </w:p>
    <w:p w:rsidR="00A67ADA" w:rsidRDefault="00A67ADA">
      <w:pPr>
        <w:pStyle w:val="4"/>
      </w:pPr>
    </w:p>
    <w:p w:rsidR="00A67ADA" w:rsidRDefault="00A67ADA">
      <w:pPr>
        <w:pStyle w:val="4"/>
      </w:pPr>
      <w:r>
        <w:t>Регистрация выпуска ценных бумаг</w:t>
      </w:r>
    </w:p>
    <w:p w:rsidR="00A67ADA" w:rsidRDefault="00A67ADA">
      <w:r>
        <w:t xml:space="preserve">Для регистрации выпуска своих ценных бумаг банк-эмитент представляет в регистрирующий орган следующие документы: </w:t>
      </w:r>
    </w:p>
    <w:p w:rsidR="00A67ADA" w:rsidRDefault="00A67ADA">
      <w:pPr>
        <w:pStyle w:val="a"/>
      </w:pPr>
      <w:r>
        <w:t xml:space="preserve">заявление на регистрацию (Приложение 1); </w:t>
      </w:r>
    </w:p>
    <w:p w:rsidR="00A67ADA" w:rsidRDefault="00A67ADA">
      <w:pPr>
        <w:pStyle w:val="a"/>
      </w:pPr>
      <w:r>
        <w:t xml:space="preserve">решение о выпуске ценных бумаг (Приложение 2); </w:t>
      </w:r>
    </w:p>
    <w:p w:rsidR="00A67ADA" w:rsidRDefault="00A67ADA">
      <w:pPr>
        <w:pStyle w:val="a"/>
      </w:pPr>
      <w:r>
        <w:t xml:space="preserve">описание сертификата (при документарной форме выпуска); </w:t>
      </w:r>
    </w:p>
    <w:p w:rsidR="00A67ADA" w:rsidRDefault="00A67ADA">
      <w:pPr>
        <w:pStyle w:val="a"/>
      </w:pPr>
      <w:r>
        <w:t xml:space="preserve">проспект эмиссии (Приложение 3); </w:t>
      </w:r>
    </w:p>
    <w:p w:rsidR="00A67ADA" w:rsidRDefault="00A67ADA">
      <w:pPr>
        <w:pStyle w:val="a"/>
      </w:pPr>
      <w:r>
        <w:t xml:space="preserve">копию ПП об уплате налога на операции с ценными бумагами; </w:t>
      </w:r>
    </w:p>
    <w:p w:rsidR="00A67ADA" w:rsidRDefault="00A67ADA">
      <w:pPr>
        <w:pStyle w:val="a"/>
      </w:pPr>
      <w:r>
        <w:t xml:space="preserve">выписку из протокола собрания уполномоченного органа банка, подтверждающую принятие решения о выпуске ценных бумаг; </w:t>
      </w:r>
    </w:p>
    <w:p w:rsidR="00A67ADA" w:rsidRDefault="00A67ADA">
      <w:pPr>
        <w:pStyle w:val="a"/>
      </w:pPr>
      <w:r>
        <w:t xml:space="preserve">выписку из протокола общего собрания акционеров об утверждении аудитора; </w:t>
      </w:r>
    </w:p>
    <w:p w:rsidR="00A67ADA" w:rsidRDefault="00A67ADA">
      <w:pPr>
        <w:pStyle w:val="a"/>
      </w:pPr>
      <w:r>
        <w:t xml:space="preserve">иные документы. </w:t>
      </w:r>
    </w:p>
    <w:p w:rsidR="00A67ADA" w:rsidRDefault="00A67ADA">
      <w:r>
        <w:t xml:space="preserve">При регистрации выпуска акций (конвертируемых в акции облигаций) в регистрирующий орган дополнительно должны быть представлены: </w:t>
      </w:r>
    </w:p>
    <w:p w:rsidR="00A67ADA" w:rsidRDefault="00A67ADA">
      <w:pPr>
        <w:pStyle w:val="a"/>
      </w:pPr>
      <w:r>
        <w:t xml:space="preserve">документ, подтверждающий согласование выпуска с Министерством РФ по антимонопольной политике и поддержке предпринимательства или его территориальным органом (при создании банка в форме АО и изменении его уставного капитала), (только для акций); </w:t>
      </w:r>
    </w:p>
    <w:p w:rsidR="00A67ADA" w:rsidRDefault="00A67ADA">
      <w:pPr>
        <w:pStyle w:val="a"/>
      </w:pPr>
      <w:r>
        <w:t xml:space="preserve">копию устава банка - эмитента; </w:t>
      </w:r>
    </w:p>
    <w:p w:rsidR="00A67ADA" w:rsidRDefault="00A67ADA">
      <w:pPr>
        <w:pStyle w:val="a"/>
      </w:pPr>
      <w:r>
        <w:t xml:space="preserve">для банка, действующего в форме ЗАО, и при создании банка в форме ОАО - документ, подтверждающий согласие, данное территориальным учреждением Банка России на приобретение акционерами более 20% акций банка (только для акций); </w:t>
      </w:r>
    </w:p>
    <w:p w:rsidR="00A67ADA" w:rsidRDefault="00A67ADA">
      <w:r>
        <w:t xml:space="preserve">При регистрации выпуска облигаций в регистрирующий орган дополнительно должны быть представлены копии договоров или других документов, подтверждающих, что выпуск облигаций обеспечен третьими лицами, в случае, если выпуск облигаций сопровождается обеспечением. </w:t>
      </w:r>
    </w:p>
    <w:p w:rsidR="00A67ADA" w:rsidRDefault="00A67ADA">
      <w:r>
        <w:t xml:space="preserve">При регистрации выпуска конвертируемых в акции облигаций в регистрирующий орган должны быть также представлены: </w:t>
      </w:r>
    </w:p>
    <w:p w:rsidR="00A67ADA" w:rsidRDefault="00A67ADA">
      <w:pPr>
        <w:pStyle w:val="a"/>
      </w:pPr>
      <w:r>
        <w:t xml:space="preserve">копия устава кредитной организации-эмитента со всеми зарегистрированными изменениями и дополнениями; </w:t>
      </w:r>
    </w:p>
    <w:p w:rsidR="00A67ADA" w:rsidRDefault="00A67ADA">
      <w:pPr>
        <w:pStyle w:val="a"/>
      </w:pPr>
      <w:r>
        <w:t xml:space="preserve">выписка из решения общего собрания акционеров в случае неприменения преимущественного права акционеров – владельцев голосующих акций, закрепленного в уставе кредитной организации-эмитента, на покупку размещаемых путем открытой подписки с оплатой деньгами конвертируемых в голосующие акции облигаций (при принятии соответствующего решения). </w:t>
      </w:r>
    </w:p>
    <w:p w:rsidR="00A67ADA" w:rsidRDefault="00A67ADA">
      <w:r>
        <w:t xml:space="preserve">При регистрации выпуска ценных бумаг при реорганизации банков в форме слияния, присоединения, преобразования, выделения, разделения в регистрирующий орган должны быть дополнительно представлены: </w:t>
      </w:r>
    </w:p>
    <w:p w:rsidR="00A67ADA" w:rsidRDefault="00A67ADA">
      <w:pPr>
        <w:pStyle w:val="a"/>
      </w:pPr>
      <w:r>
        <w:t xml:space="preserve">копии учредительных документов банка, образуемого в результате реорганизации, и копии изменений и дополнений в устав присоединяющего банка; </w:t>
      </w:r>
    </w:p>
    <w:p w:rsidR="00A67ADA" w:rsidRDefault="00A67ADA">
      <w:pPr>
        <w:pStyle w:val="a"/>
      </w:pPr>
      <w:r>
        <w:t xml:space="preserve">копии договоров о слиянии (присоединении); </w:t>
      </w:r>
    </w:p>
    <w:p w:rsidR="00A67ADA" w:rsidRDefault="00A67ADA">
      <w:pPr>
        <w:pStyle w:val="a"/>
      </w:pPr>
      <w:r>
        <w:t xml:space="preserve">копии протоколов общих собраний акционеров реорганизуемых банков, на которых утверждались договоры о слиянии (присоединении), принимались решения о порядке конвертации акций реорганизуемых банков в акции и иные ценные бумаги создаваемых банков; </w:t>
      </w:r>
    </w:p>
    <w:p w:rsidR="00A67ADA" w:rsidRDefault="00A67ADA">
      <w:pPr>
        <w:pStyle w:val="a"/>
      </w:pPr>
      <w:r>
        <w:t xml:space="preserve">передаточный акт (разделительный баланс); </w:t>
      </w:r>
    </w:p>
    <w:p w:rsidR="00A67ADA" w:rsidRDefault="00A67ADA">
      <w:pPr>
        <w:pStyle w:val="a"/>
      </w:pPr>
      <w:r>
        <w:t xml:space="preserve">сводный баланс вместе с расшифровками взаимных обязательств. </w:t>
      </w:r>
    </w:p>
    <w:p w:rsidR="00A67ADA" w:rsidRDefault="00A67ADA">
      <w:r>
        <w:t xml:space="preserve">Если регистрация выпуска ценных бумаг производится в территориальном учреждении Банка России, то заявление на регистрацию, решение о выпуске ценных бумаг, проспект эмиссии представляются в четырех экземплярах. </w:t>
      </w:r>
    </w:p>
    <w:p w:rsidR="00A67ADA" w:rsidRDefault="00A67ADA">
      <w:r>
        <w:t xml:space="preserve">Регистрационные документы 1-го выпуска акций банка, осуществляемого при создании банка путем учреждения или реорганизации, а также выпуска ценных бумаг присоединяющего банка при реорганизации в форме присоединения, представляются в регистрирующий орган одновременно с подачей в Банк России других документов, необходимых для государственной регистрации самого банка или изменений в устав присоединяющего банка при реорганизации в форме присоединения. Регистрация выпуска ценных бумаг в этом случае должна проводиться одновременно с регистрацией банка в форме АО, или изменений в уставе присоединяющего банка при реорганизации в форме присоединения. </w:t>
      </w:r>
    </w:p>
    <w:p w:rsidR="00A67ADA" w:rsidRDefault="00A67ADA">
      <w:r>
        <w:t xml:space="preserve">Документы на регистрацию выпуска ценных бумаг подаются в регистрирующий орган не позднее 2-х месяцев с момента принятия решения о выпуске. Срок рассмотрения регистрационных документов регистрирующим органом не должен превышать 30 дней. </w:t>
      </w:r>
    </w:p>
    <w:p w:rsidR="00A67ADA" w:rsidRDefault="00A67ADA">
      <w:r>
        <w:t xml:space="preserve">Основаниями для отказа в регистрации выпуска ценных бумаг могут быть: </w:t>
      </w:r>
    </w:p>
    <w:p w:rsidR="00A67ADA" w:rsidRDefault="00A67ADA">
      <w:r>
        <w:t xml:space="preserve">1) нарушение банком-эмитентом законодательства РФ о ценных бумагах и порядка составления и оформления регистрируемых документов на выпуск ценных бумаг; </w:t>
      </w:r>
    </w:p>
    <w:p w:rsidR="00A67ADA" w:rsidRDefault="00A67ADA">
      <w:r>
        <w:t xml:space="preserve">2) отсутствие в составе поданных документов хотя бы одного из необходимых документов, или несоответствие состава содержащихся в них сведений требованиям законодательства о ценных бумагах, и нормативным актам Банка России; </w:t>
      </w:r>
    </w:p>
    <w:p w:rsidR="00A67ADA" w:rsidRDefault="00A67ADA">
      <w:r>
        <w:t xml:space="preserve">3) наличие в регистрационных документах недостоверной информации или информации, позволяющей сделать вывод о противоречии условий выпуска и обращения ценных бумаг действующему законодательству; </w:t>
      </w:r>
    </w:p>
    <w:p w:rsidR="00A67ADA" w:rsidRDefault="00A67ADA">
      <w:r>
        <w:t xml:space="preserve">4) нарушение банком-эмитентом норм, установленных банковским законодательством и нормативными актами Банка России; в том числе невыполнение банком-эмитентом обязательных нормативов; </w:t>
      </w:r>
    </w:p>
    <w:p w:rsidR="00A67ADA" w:rsidRDefault="00A67ADA">
      <w:r>
        <w:t xml:space="preserve">5) наличие у банка убытков в течение последнего финансового года; </w:t>
      </w:r>
    </w:p>
    <w:p w:rsidR="00A67ADA" w:rsidRDefault="00A67ADA">
      <w:r>
        <w:t xml:space="preserve">6) наличие у банка-эмитента просроченной задолженности кредиторам на момент принятия решения о выпуске ценных бумаг; </w:t>
      </w:r>
    </w:p>
    <w:p w:rsidR="00A67ADA" w:rsidRDefault="00A67ADA">
      <w:r>
        <w:t xml:space="preserve">7) неисполнение банком-эмитентом санкций, наложенных государственными органами, Банком России в течение трех лет, либо с момента образования. </w:t>
      </w:r>
    </w:p>
    <w:p w:rsidR="00A67ADA" w:rsidRDefault="00A67ADA">
      <w:r>
        <w:t xml:space="preserve">Отказ в регистрации выпуска ценных бумаг по иным основаниям не допускается. При отсутствии претензий к регистрационным документам регистрирующий орган в установленные сроки регистрирует выпуск ценных бумаг. </w:t>
      </w:r>
    </w:p>
    <w:p w:rsidR="00A67ADA" w:rsidRDefault="00A67ADA">
      <w:r>
        <w:t xml:space="preserve">При отказе в регистрации выпуска ценных бумаг регистрирующий орган оставляет у себя по 1-му экземпляру каждого из представленных документов, возвращая оставшиеся экземпляры документов банку-эмитенту. При этом регистрирующий орган письменно формулирует причину отказа и претензии к кредитной организации-эмитенту, на основании которых был сделан этот отказ. </w:t>
      </w:r>
    </w:p>
    <w:p w:rsidR="00A67ADA" w:rsidRDefault="00A67ADA">
      <w:r>
        <w:t xml:space="preserve">В момент государственной регистрации выпуска ценных бумаг этим ценным бумагам присваивается Государственный регистрационный номер. </w:t>
      </w:r>
    </w:p>
    <w:p w:rsidR="00A67ADA" w:rsidRDefault="00A67ADA">
      <w:r>
        <w:t xml:space="preserve">Если банком в рамках одной эмиссионной кампании осуществляется одновременно несколько выпусков ценных бумаг, то на каждый выпуск оформляется отдельное решение о выпуске. Все бумаги одного выпуска должны иметь один Государственный регистрационный номер. Вместе с тем на все выпуски ценных бумаг, размещаемые в рамках одной эмиссионной кампании, оформляется единый комплект регистрационных документов (за исключением решений о выпуске). </w:t>
      </w:r>
    </w:p>
    <w:p w:rsidR="00A67ADA" w:rsidRDefault="00A67ADA">
      <w:r>
        <w:t xml:space="preserve">После государственной регистрации выпуска регистрирующий орган выдает банка-эмитенту 1 экземпляр зарегистрированного решения о выпуске ценных бумаг, 1 экземпляр зарегистрированного заявления на регистрацию выпуска ценных бумаг и 1 экземпляр зарегистрированного проспекта эмиссии, а также письмо, подтверждающее акт государственной регистрации, где указываются объем зарегистрированного выпуска, количество и характеристика зарегистрированных ценных бумаг, а также присвоенный регистрационный номер и дата регистрации. Помимо этого банку-эмитенту вместе с зарегистрированными документами о выпуске выдается письмо в адрес Расчетно-кассового центра Банка России по месту ведения корреспондентского счета банка-эмитента об открытии ему накопительного счета для сбора средств в валюте Российской Федерации, поступающих в оплату за акции (в РКЦ открывается счет N 30207, а в банке – соответственно балансовый счет №30208 "Накопительные счета кредитных организаций при выпуске акций" (именуемый в дальнейшем по тексту "накопительный счет"). Зарегистрированные документы, письма о регистрации и об открытии накопительного счета подписываются уполномоченным лицом и заверяются печатью регистрирующего органа. </w:t>
      </w:r>
    </w:p>
    <w:p w:rsidR="00A67ADA" w:rsidRDefault="00A67ADA">
      <w:r>
        <w:t xml:space="preserve">Если регистрация выпуска ценных бумаг производится в территориальных учреждениях Банка России, регистрирующий орган не позднее следующего дня с момента регистрации выпуска должен направить в адрес Департамента контроля по 1-му экземпляру заявления на регистрацию выпуска, решения о выпуске, а также проспекта эмиссии, проставляя на этих документах дату регистрации, Государственный регистрационный номер ценных бумаг, заверяя эти отметки своей печатью и подписью ответственного лица. </w:t>
      </w:r>
    </w:p>
    <w:p w:rsidR="00A67ADA" w:rsidRDefault="00A67ADA">
      <w:pPr>
        <w:pStyle w:val="4"/>
      </w:pPr>
    </w:p>
    <w:p w:rsidR="00A67ADA" w:rsidRDefault="00A67ADA">
      <w:pPr>
        <w:pStyle w:val="4"/>
      </w:pPr>
      <w:r>
        <w:t>Раскрытие информации, содержащейся в регистрационных документах</w:t>
      </w:r>
    </w:p>
    <w:p w:rsidR="00A67ADA" w:rsidRDefault="00A67ADA">
      <w:r>
        <w:t xml:space="preserve">В случае открытой эмиссии, требующей регистрации проспекта эмиссии, банк-эмитент обязан опубликовать уведомление о порядке раскрытия и обеспечения доступа к информации, содержащейся в проспекте эмиссии. Уведомление должно быть опубликовано в течение месяца со дня Государственной регистрации ценных бумаг, и содержать следующую информацию: </w:t>
      </w:r>
    </w:p>
    <w:p w:rsidR="00A67ADA" w:rsidRDefault="00A67ADA">
      <w:pPr>
        <w:pStyle w:val="a"/>
      </w:pPr>
      <w:r>
        <w:t xml:space="preserve">полное наименование банка-эмитента; </w:t>
      </w:r>
    </w:p>
    <w:p w:rsidR="00A67ADA" w:rsidRDefault="00A67ADA">
      <w:pPr>
        <w:pStyle w:val="a"/>
      </w:pPr>
      <w:r>
        <w:t xml:space="preserve">вид, категории, типы и форма размещаемых ценных бумаг с указанием общего объема эмиссии; </w:t>
      </w:r>
    </w:p>
    <w:p w:rsidR="00A67ADA" w:rsidRDefault="00A67ADA">
      <w:pPr>
        <w:pStyle w:val="a"/>
      </w:pPr>
      <w:r>
        <w:t xml:space="preserve">права, предоставляемые по каждому выпуску размещаемых ценных бумаг; </w:t>
      </w:r>
    </w:p>
    <w:p w:rsidR="00A67ADA" w:rsidRDefault="00A67ADA">
      <w:pPr>
        <w:pStyle w:val="a"/>
      </w:pPr>
      <w:r>
        <w:t xml:space="preserve">сроки начала и завершения размещения ценных бумаг; </w:t>
      </w:r>
    </w:p>
    <w:p w:rsidR="00A67ADA" w:rsidRDefault="00A67ADA">
      <w:pPr>
        <w:pStyle w:val="a"/>
      </w:pPr>
      <w:r>
        <w:t xml:space="preserve">круг потенциальных покупателей ценных бумаг; </w:t>
      </w:r>
    </w:p>
    <w:p w:rsidR="00A67ADA" w:rsidRDefault="00A67ADA">
      <w:pPr>
        <w:pStyle w:val="a"/>
      </w:pPr>
      <w:r>
        <w:t xml:space="preserve">места, где потенциальные покупатели могут приобрести ценные бумаги данного выпуска и ознакомиться с содержанием проспекта эмиссии; </w:t>
      </w:r>
    </w:p>
    <w:p w:rsidR="00A67ADA" w:rsidRDefault="00A67ADA">
      <w:pPr>
        <w:pStyle w:val="a"/>
      </w:pPr>
      <w:r>
        <w:t xml:space="preserve">размер зарегистрированного уставного капитала банка-эмитента; </w:t>
      </w:r>
    </w:p>
    <w:p w:rsidR="00A67ADA" w:rsidRDefault="00A67ADA">
      <w:pPr>
        <w:pStyle w:val="a"/>
      </w:pPr>
      <w:r>
        <w:t xml:space="preserve">в случае эмиссии акций – о необходимости предварительного согласования покупателем с Банком России приобретения более 20% акций, размещенных с учетом осуществляемой эмиссии, данного банком; о необходимости получения справки из Госналогслужбы России об отсутствии задолженности перед бюджетом и внебюджетными фондами – при приобретении более 5% акций. </w:t>
      </w:r>
    </w:p>
    <w:p w:rsidR="00A67ADA" w:rsidRDefault="00A67ADA">
      <w:r>
        <w:t xml:space="preserve">Банк-эмитент, осуществляющий размещение ценных бумаг, обязан обеспечить любым потенциальным покупателям возможность доступа к раскрываемой информации до приобретения ценных бумаг. </w:t>
      </w:r>
    </w:p>
    <w:p w:rsidR="00A67ADA" w:rsidRDefault="00A67ADA">
      <w:r>
        <w:t xml:space="preserve">В случае открытой эмиссии запрещается размещение ценных бумаг нового выпуска ранее чем через 2 недели после обеспечения всем покупателям возможности доступа к информации о выпуске. Информация о цене размещения ценных бумаг может раскрываться в день начала размещения ценных бумаг. </w:t>
      </w:r>
    </w:p>
    <w:p w:rsidR="00A67ADA" w:rsidRDefault="00A67ADA">
      <w:pPr>
        <w:pStyle w:val="4"/>
      </w:pPr>
    </w:p>
    <w:p w:rsidR="00A67ADA" w:rsidRDefault="00A67ADA">
      <w:pPr>
        <w:pStyle w:val="4"/>
      </w:pPr>
      <w:r>
        <w:t>Размещение ценных бумаг</w:t>
      </w:r>
    </w:p>
    <w:p w:rsidR="00A67ADA" w:rsidRDefault="00A67ADA">
      <w:r>
        <w:t xml:space="preserve">После регистрации выпуска ценных бумаг банк - эмитент вправе начать кампанию по размещению выпускаемых ценных бумаг. </w:t>
      </w:r>
    </w:p>
    <w:p w:rsidR="00A67ADA" w:rsidRDefault="00A67ADA">
      <w:r>
        <w:t xml:space="preserve">Размещение акций может происходить путем: </w:t>
      </w:r>
    </w:p>
    <w:p w:rsidR="00A67ADA" w:rsidRDefault="00A67ADA">
      <w:r>
        <w:t>а) приема от инвесторов взносов в уставный капитал банка материальными активами путем заключения банком-эмитентом с инвесторами договоров мены на оговоренное число акций, доля которых при создании банка не должна превышать 20%, и 10% при каждом последующем увеличении уставного капитала. Указанием ЦБР от 31 декабря 1998 г. N 474-У установлено, что при наличии разрешения Совета директоров Банка России акционеры банка вправе производить оплату уставного капитала создаваемого банка и увеличение уставного капитала действующего банка иными принадлежащими им активами, не являющимися денежными средствами или банковским зданием. Предельный размер и состав таких активов определяются Советом директоров Банка России</w:t>
      </w:r>
    </w:p>
    <w:p w:rsidR="00A67ADA" w:rsidRDefault="00A67ADA">
      <w:r>
        <w:t xml:space="preserve">б) продажи за валюту РФ и иностранную валюту. </w:t>
      </w:r>
    </w:p>
    <w:p w:rsidR="00A67ADA" w:rsidRDefault="00A67ADA">
      <w:r>
        <w:t xml:space="preserve">в) переоформления внесенных ранее долей в акции – при преобразовании банка из ООО в АО; </w:t>
      </w:r>
    </w:p>
    <w:p w:rsidR="00A67ADA" w:rsidRDefault="00A67ADA">
      <w:r>
        <w:t xml:space="preserve">г) капитализации прочих собственных средств банков в установленном законодательством порядке и начисленных, но не выплаченных дивидендов. </w:t>
      </w:r>
    </w:p>
    <w:p w:rsidR="00A67ADA" w:rsidRDefault="00A67ADA">
      <w:r>
        <w:t xml:space="preserve">В этом случае размещение акций среди акционеров банка производится на основании решения общего собрания акционеров. Распределение акций должно осуществляться всеми акционерами-владельцами акций всех категорий, и при этом должны одновременно выполняться следующие условия: </w:t>
      </w:r>
    </w:p>
    <w:p w:rsidR="00A67ADA" w:rsidRDefault="00A67ADA">
      <w:pPr>
        <w:pStyle w:val="a"/>
      </w:pPr>
      <w:r>
        <w:t xml:space="preserve">количество распределяемых дополнительных акций каждой категории пропорционально количеству размещенных акций этой категории; </w:t>
      </w:r>
    </w:p>
    <w:p w:rsidR="00A67ADA" w:rsidRDefault="00A67ADA">
      <w:pPr>
        <w:pStyle w:val="a"/>
      </w:pPr>
      <w:r>
        <w:t xml:space="preserve">каждому акционеру - владельцу акций определенной категории распределяется целое число акций этой категории, пропорциональное числу принадлежащих ему акций этой категории. </w:t>
      </w:r>
    </w:p>
    <w:p w:rsidR="00A67ADA" w:rsidRDefault="00A67ADA">
      <w:r>
        <w:t xml:space="preserve">Распределение акций среди акционеров осуществляется по данным реестра на день, указанный в решении о выпуске ценных бумаг. </w:t>
      </w:r>
    </w:p>
    <w:p w:rsidR="00A67ADA" w:rsidRDefault="00A67ADA">
      <w:r>
        <w:t xml:space="preserve">д) конвертации в них ранее выпущенных конвертируемых ценных бумаг – в соответствии с условиями их выпуска и действующим законодательством; </w:t>
      </w:r>
    </w:p>
    <w:p w:rsidR="00A67ADA" w:rsidRDefault="00A67ADA">
      <w:r>
        <w:t xml:space="preserve">е) конвертации в них ценных бумаг реорганизуемых банков; </w:t>
      </w:r>
    </w:p>
    <w:p w:rsidR="00A67ADA" w:rsidRDefault="00A67ADA">
      <w:r>
        <w:t xml:space="preserve">ж) консолидации акций; </w:t>
      </w:r>
    </w:p>
    <w:p w:rsidR="00A67ADA" w:rsidRDefault="00A67ADA">
      <w:r>
        <w:t xml:space="preserve">з) дробления акций. </w:t>
      </w:r>
    </w:p>
    <w:p w:rsidR="00A67ADA" w:rsidRDefault="00A67ADA">
      <w:r>
        <w:t xml:space="preserve">Размещение облигаций может происходить путем: </w:t>
      </w:r>
    </w:p>
    <w:p w:rsidR="00A67ADA" w:rsidRDefault="00A67ADA">
      <w:r>
        <w:t xml:space="preserve">а) продажи облигаций. </w:t>
      </w:r>
    </w:p>
    <w:p w:rsidR="00A67ADA" w:rsidRDefault="00A67ADA">
      <w:r>
        <w:t xml:space="preserve">б) замены на ранее выпущенные банком конвертируемые облигации и другие ценные бумаги. </w:t>
      </w:r>
    </w:p>
    <w:p w:rsidR="00A67ADA" w:rsidRDefault="00A67ADA">
      <w:r>
        <w:t xml:space="preserve">Оплата акций банка при их продаже первым владельцам осуществляется по рыночной стоимости, но не ниже номинальной стоимости. Оплата акций банка при его учреждении производится его учредителями по номинальной стоимости. </w:t>
      </w:r>
    </w:p>
    <w:p w:rsidR="00A67ADA" w:rsidRDefault="00A67ADA">
      <w:r>
        <w:t xml:space="preserve">Размещение ценных бумаг должно быть закончено: </w:t>
      </w:r>
    </w:p>
    <w:p w:rsidR="00A67ADA" w:rsidRDefault="00A67ADA">
      <w:pPr>
        <w:pStyle w:val="a"/>
      </w:pPr>
      <w:r>
        <w:t xml:space="preserve">акций при учреждении банка в форме АО или преобразовании банка из ООО в АО – не позднее чем через 30 дней после регистрации банка; </w:t>
      </w:r>
    </w:p>
    <w:p w:rsidR="00A67ADA" w:rsidRDefault="00A67ADA">
      <w:pPr>
        <w:pStyle w:val="a"/>
      </w:pPr>
      <w:r>
        <w:t xml:space="preserve">акций при реорганизации банка (кроме реорганизации путем преобразования) – в день регистрации выпуска ценных бумаг; </w:t>
      </w:r>
    </w:p>
    <w:p w:rsidR="00A67ADA" w:rsidRDefault="00A67ADA">
      <w:pPr>
        <w:pStyle w:val="a"/>
      </w:pPr>
      <w:r>
        <w:t xml:space="preserve">в остальных случаях – по истечении 1 года с даты начала эмиссии. </w:t>
      </w:r>
    </w:p>
    <w:p w:rsidR="00A67ADA" w:rsidRDefault="00A67ADA">
      <w:r>
        <w:t xml:space="preserve">В эти сроки должна быть произведена полная оплата размещаемых ценных бумаг с соответствующим отражением в учете банка-эмитента, за исключением оплаты дополнительно размещаемых акций при их оплате в валюте РФ. </w:t>
      </w:r>
    </w:p>
    <w:p w:rsidR="00A67ADA" w:rsidRDefault="00A67ADA">
      <w:r>
        <w:t xml:space="preserve">Под датой начала эмиссии понимается дата, с которой банк-эмитент вправе начать размещение ценных бумаг с соблюдением сроков публикации сообщения в печати об эмиссии и сроков уведомления акционеров-владельцев голосующих акций о наличии у них преимущественного права на покупку размещаемых путем открытой подписки голосующих акций и ценных бумаг, конвертируемых в голосующие акции, с их оплатой деньгами. </w:t>
      </w:r>
    </w:p>
    <w:p w:rsidR="00A67ADA" w:rsidRDefault="00A67ADA">
      <w:r>
        <w:t xml:space="preserve">При размещении ценных бумаг путем закрытой подписки датой начала эмиссии будет являться дата регистрации выпуска в регистрирующем органе. </w:t>
      </w:r>
    </w:p>
    <w:p w:rsidR="00A67ADA" w:rsidRDefault="00A67ADA">
      <w:r>
        <w:t xml:space="preserve">При размещении ценных бумаг путем открытой подписки (при условии неприменения преимущественного права акционеров-владельцев голосующих акций на покупку размещаемых за счет денежных средств голосующих акций) дата начала эмиссии будет рассчитываться через 2 недели с момента раскрытия информации о выпуске, которое должно быть осуществлено в течение одного месяца с даты регистрации выпуска в регистрирующем органе. </w:t>
      </w:r>
    </w:p>
    <w:p w:rsidR="00A67ADA" w:rsidRDefault="00A67ADA">
      <w:r>
        <w:t xml:space="preserve">Количество размещаемых ценных бумаг не должно превышать числа, указанного в зарегистрированных эмиссионных документах. В случае размещения ценных бумаг сверх количества, указанного в зарегистрированных эмиссионных документах, банк-эмитент обязан обеспечить в течение 2 месяцев выкуп и погашение ценных бумаг, выпущенных в обращение сверх нормы. </w:t>
      </w:r>
    </w:p>
    <w:p w:rsidR="00A67ADA" w:rsidRDefault="00A67ADA">
      <w:r>
        <w:t xml:space="preserve">Минимальная оплаченная доля выпуска облигаций по отношению к первоначально заявленному его объему, достижение которой, безусловно, необходимо для регистрации итогов выпуска, не устанавливается. Порядок определения минимальной оплаченной доли выпуска акций, достижение которой, безусловно, необходимо для регистрации итогов выпуска. </w:t>
      </w:r>
    </w:p>
    <w:p w:rsidR="00A67ADA" w:rsidRDefault="00A67ADA">
      <w:r>
        <w:t xml:space="preserve">Если оплата акций происходит в валюте РФ в безналичном порядке, а также при оплате акций путем капитализации начисленных, но не выплаченных дивидендов эти средства должны зачисляться непосредственно на накопительный счет банка в Банке России. </w:t>
      </w:r>
    </w:p>
    <w:p w:rsidR="00A67ADA" w:rsidRDefault="00A67ADA">
      <w:r>
        <w:t xml:space="preserve">Накопительный счет открывается банку-эмитенту после регистрации выпуска акций (проспекта эмиссии) по месту ведения корреспондентского счета в учреждении Банка России. На накопительном счете средства находятся и учитываются до регистрации отчета об итогах выпуска акций. </w:t>
      </w:r>
    </w:p>
    <w:p w:rsidR="00A67ADA" w:rsidRDefault="00A67ADA">
      <w:r>
        <w:t xml:space="preserve">Если банк-эмитент размещает акции через свои филиалы или привлекает в качестве посредников по их размещению брокеров, то эти филиалы и брокеры обязаны не позднее чем в трехдневный срок с даты размещения акций перечислять вырученные денежные средства со своего расчетного (корреспондентского) счета на накопительный счет банка-эмитента в Банке России. </w:t>
      </w:r>
    </w:p>
    <w:p w:rsidR="00A67ADA" w:rsidRDefault="00A67ADA">
      <w:r>
        <w:t xml:space="preserve">В случае, если банк принимает наличные денежные средства в оплату размещаемых акций, он обязан сдавать эту выручку Банку России в трехдневный срок с обязательным зачислением всей суммы на накопительный счет. Если банк, осуществляющий прием платежей в оплату размещаемых акций наличными средствами, не сдает эту выручку в Банк России, то он обязан в 3-х дневный срок перечислить в безналичном порядке эквивалент принятой в наличной форме суммы средств со своего корреспондентского счета на накопительный счет. </w:t>
      </w:r>
    </w:p>
    <w:p w:rsidR="00A67ADA" w:rsidRDefault="00A67ADA">
      <w:r>
        <w:t xml:space="preserve">В случае оплаты акций за счет капитализации собственных средств банка-эмитента капитализируемая часть собственных средств банка направляемая на увеличение уставного капитала, не зачисляется на накопительный счет. </w:t>
      </w:r>
    </w:p>
    <w:p w:rsidR="00A67ADA" w:rsidRDefault="00A67ADA">
      <w:r>
        <w:t xml:space="preserve">Банк-эмитент не вправе использовать в своем обороте средства, находящиеся на накопительном счете. </w:t>
      </w:r>
    </w:p>
    <w:p w:rsidR="00A67ADA" w:rsidRDefault="00A67ADA">
      <w:r>
        <w:t xml:space="preserve">С накопительного счета банка в Банке России денежные средства могут: </w:t>
      </w:r>
    </w:p>
    <w:p w:rsidR="00A67ADA" w:rsidRDefault="00A67ADA">
      <w:pPr>
        <w:pStyle w:val="a"/>
      </w:pPr>
      <w:r>
        <w:t xml:space="preserve">перечисляться на корреспондентский счет банка в Банке России – после регистрации итогов выпуска; </w:t>
      </w:r>
    </w:p>
    <w:p w:rsidR="00A67ADA" w:rsidRDefault="00A67ADA">
      <w:pPr>
        <w:pStyle w:val="a"/>
      </w:pPr>
      <w:r>
        <w:t xml:space="preserve">возвращаться лицам, ранее перечислившим средства в оплату акций, – если итоги выпуска не зарегистрированы; </w:t>
      </w:r>
    </w:p>
    <w:p w:rsidR="00A67ADA" w:rsidRDefault="00A67ADA">
      <w:pPr>
        <w:pStyle w:val="a"/>
      </w:pPr>
      <w:r>
        <w:t xml:space="preserve">возвращаться лицам, ранее перечислившим средства в оплату акций, при расторжении договора купли-продажи акций в период проведения подписки на них. </w:t>
      </w:r>
    </w:p>
    <w:p w:rsidR="00A67ADA" w:rsidRDefault="00A67ADA">
      <w:r>
        <w:t xml:space="preserve">Иное использование средств, находящихся на накопительном счете, не допускается. </w:t>
      </w:r>
    </w:p>
    <w:p w:rsidR="00A67ADA" w:rsidRDefault="00A67ADA">
      <w:r>
        <w:t xml:space="preserve">До регистрации итогов эмиссии акций банки могут использовать средства, поступившие на данный валютный счет. </w:t>
      </w:r>
    </w:p>
    <w:p w:rsidR="00A67ADA" w:rsidRDefault="00A67ADA">
      <w:r>
        <w:t xml:space="preserve">Средства, поступающие в оплату акций вновь создаваемого банка до выдачи ему лицензии на осуществление банковских операций, аккумулируются на корреспондентском счете банка, открытом в Банке России после регистрации банка. Оплата акций банка при их первичном размещении может производиться в иностранной валюте, если это предусмотрено в зарегистрированных эмиссионных документах банка. </w:t>
      </w:r>
    </w:p>
    <w:p w:rsidR="00A67ADA" w:rsidRDefault="00A67ADA">
      <w:r>
        <w:t xml:space="preserve">Материальные активы, внесенные покупателями в оплату акций банка, до регистрации итогов выпуска не могут быть проданы банком-эмитентом или отчуждены им иным способом. На баланс банка указанные активы принимаются в оценке, производимой советом директоров в порядке, установленном действующим законодательством РФ. Если номинальная стоимость продаваемых за материальные ценности акций составляет более 200 МРОТ, то необходима денежная оценка имущества, вносимого в оплату акций, независимым оценщиком (аудитором). Банковское здание принимается на баланс банка при представлении свидетельства о Государственной регистрации права собственности банка на это здание. </w:t>
      </w:r>
    </w:p>
    <w:p w:rsidR="00A67ADA" w:rsidRDefault="00A67ADA">
      <w:r>
        <w:t xml:space="preserve">Средства на накопительном счете, стоимость материальных активов и иностранной валюты, внесенных в оплату эмитируемых акций, до регистрации отчета об итогах выпуска не подлежат включению в расчет обязательных экономических нормативов. </w:t>
      </w:r>
    </w:p>
    <w:p w:rsidR="00A67ADA" w:rsidRDefault="00A67ADA">
      <w:r>
        <w:t xml:space="preserve">При размещении облигаций открытие банка-эмитента специального накопительного счета в Банке России не требуется. Расходы по организации выпуска ценных бумаг относятся банком-эмитентом счет "Другие расходы". </w:t>
      </w:r>
    </w:p>
    <w:p w:rsidR="00A67ADA" w:rsidRDefault="00A67ADA">
      <w:pPr>
        <w:pStyle w:val="4"/>
      </w:pPr>
    </w:p>
    <w:p w:rsidR="00A67ADA" w:rsidRDefault="00A67ADA">
      <w:pPr>
        <w:pStyle w:val="4"/>
      </w:pPr>
      <w:r>
        <w:t>Регистрация итогов выпуска</w:t>
      </w:r>
    </w:p>
    <w:p w:rsidR="00A67ADA" w:rsidRDefault="00A67ADA">
      <w:r>
        <w:t xml:space="preserve">Не позднее 30 дней после завершения размещения ценных бумаг банк-эмитент анализирует его результаты и составляет отчет об итогах выпуска ценных бумаг. Регистрирующий орган следит за своевременным представлением банком-эмитентом отчета об итогах выпуска ценных бумаг. </w:t>
      </w:r>
    </w:p>
    <w:p w:rsidR="00A67ADA" w:rsidRDefault="00A67ADA">
      <w:r>
        <w:t xml:space="preserve">Вместе с отчетом об итогах выпуска банк-эмитент представляет в регистрирующий орган: </w:t>
      </w:r>
    </w:p>
    <w:p w:rsidR="00A67ADA" w:rsidRDefault="00A67ADA">
      <w:pPr>
        <w:pStyle w:val="a"/>
      </w:pPr>
      <w:r>
        <w:t xml:space="preserve">копию выписки с накопительного счета в Банке России; </w:t>
      </w:r>
    </w:p>
    <w:p w:rsidR="00A67ADA" w:rsidRDefault="00A67ADA">
      <w:pPr>
        <w:pStyle w:val="a"/>
      </w:pPr>
      <w:r>
        <w:t xml:space="preserve">справки из органов Госналогслужбы России, в случае приобретения каждым акционером более 5% акций банка; </w:t>
      </w:r>
    </w:p>
    <w:p w:rsidR="00A67ADA" w:rsidRDefault="00A67ADA">
      <w:pPr>
        <w:pStyle w:val="a"/>
      </w:pPr>
      <w:r>
        <w:t xml:space="preserve">документ о предварительном согласовании с территориальным учреждением Банка России при приобретении юридическим или физическим лицом более 20% акций банка (для банка, созданного в форме открытого акционерного общества) или продаже акций нерезидентам независимо от приобретаемой доли; </w:t>
      </w:r>
    </w:p>
    <w:p w:rsidR="00A67ADA" w:rsidRDefault="00A67ADA">
      <w:pPr>
        <w:pStyle w:val="a"/>
      </w:pPr>
      <w:r>
        <w:t xml:space="preserve">выписки из лицевых счетов, средства с которых подлежат капитализации, за подписью председателя правления (директора, генерального директора) и главного бухгалтера или лиц, их замещающих; </w:t>
      </w:r>
    </w:p>
    <w:p w:rsidR="00A67ADA" w:rsidRDefault="00A67ADA">
      <w:pPr>
        <w:pStyle w:val="a"/>
      </w:pPr>
      <w:r>
        <w:t xml:space="preserve">письмо, подтверждающее проведение банком - эмитентом проверки правомерности оплаты уставного капитала акционерами, приобретающими до 5% (включительно) акций банка; </w:t>
      </w:r>
    </w:p>
    <w:p w:rsidR="00A67ADA" w:rsidRDefault="00A67ADA">
      <w:pPr>
        <w:pStyle w:val="a"/>
      </w:pPr>
      <w:r>
        <w:t xml:space="preserve">копии свидетельств о регистрации юридических лиц, приобретающих более 5% акций банка-эмитента. </w:t>
      </w:r>
    </w:p>
    <w:p w:rsidR="00A67ADA" w:rsidRDefault="00A67ADA">
      <w:r>
        <w:t xml:space="preserve">При необходимости дополнительной проверки правомерности оплаты уставного капитала регистрирующий орган вправе потребовать от банка-эмитента представления иных документов. </w:t>
      </w:r>
    </w:p>
    <w:p w:rsidR="00A67ADA" w:rsidRDefault="00A67ADA">
      <w:r>
        <w:t xml:space="preserve">Отчет об итогах выпуска представляется в Департамент контроля в двух экземплярах, в территориальные учреждения Банка России – в трех экземплярах. </w:t>
      </w:r>
    </w:p>
    <w:p w:rsidR="00A67ADA" w:rsidRDefault="00A67ADA">
      <w:r>
        <w:t xml:space="preserve">Отчет о первом выпуске акций при учреждении банка-эмитента представляется в регистрирующий орган одновременно с представлением документов на получение лицензии на осуществление банковских операций. </w:t>
      </w:r>
    </w:p>
    <w:p w:rsidR="00A67ADA" w:rsidRDefault="00A67ADA">
      <w:r>
        <w:t xml:space="preserve">Отчет об итогах выпуска ценных бумаг составляется по форме, указанной в Приложении 4. </w:t>
      </w:r>
    </w:p>
    <w:p w:rsidR="00A67ADA" w:rsidRDefault="00A67ADA">
      <w:r>
        <w:t xml:space="preserve">Срок рассмотрения регистрирующим органом отчета об итогах выпуска не может превышать 2-х недель. </w:t>
      </w:r>
    </w:p>
    <w:p w:rsidR="00A67ADA" w:rsidRDefault="00A67ADA">
      <w:r>
        <w:t xml:space="preserve">Регистрирующий орган перед регистрацией рассматривает информацию, содержащуюся в отчете, на предмет ее соответствия действующему законодательству РФ и иным нормативным актам Банка России. При 100% -ой оплате размещенных акций проверку правомерности оплаты уставного капитала инвесторами, приобретающими более 5% акций банка-эмитента, осуществляет соответствующее подразделение территориального учреждения Банка России, осуществляющее лицензирование банковской деятельности. </w:t>
      </w:r>
    </w:p>
    <w:p w:rsidR="00A67ADA" w:rsidRDefault="00A67ADA">
      <w:r>
        <w:t xml:space="preserve">Банк-эмитент в срок не позднее 30 дней после завершения процесса размещения ценных бумаг направляет в соответствующее подразделение территориального учреждения Банка России документы, подтверждающие правомерность оплаты уставного капитала: </w:t>
      </w:r>
    </w:p>
    <w:p w:rsidR="00A67ADA" w:rsidRDefault="00A67ADA">
      <w:pPr>
        <w:pStyle w:val="a"/>
      </w:pPr>
      <w:r>
        <w:t xml:space="preserve">балансы на последнюю отчетную дату, предшествующую дате перечисления средств в оплату уставного капитала банка, с отметками органов Государственной налоговой службы Российской Федерации, а также балансы на дату внесения средств в уставный капитал банка, подтверждающие наличие и достаточность у инвесторов собственных средств; </w:t>
      </w:r>
    </w:p>
    <w:p w:rsidR="00A67ADA" w:rsidRDefault="00A67ADA">
      <w:pPr>
        <w:pStyle w:val="a"/>
      </w:pPr>
      <w:r>
        <w:t xml:space="preserve">аудиторские заключения о достоверности финансовой отчетности участников – юридических лиц с приложением балансов и отчетов о прибылях и убытках за последний год деятельности (за исключением юридических лиц, с даты государственной регистрации которых прошло менее 1 отчетного года); </w:t>
      </w:r>
    </w:p>
    <w:p w:rsidR="00A67ADA" w:rsidRDefault="00A67ADA">
      <w:pPr>
        <w:pStyle w:val="a"/>
      </w:pPr>
      <w:r>
        <w:t xml:space="preserve">расчет показателя чистых активов и коэффициента текущей ликвидности; </w:t>
      </w:r>
    </w:p>
    <w:p w:rsidR="00A67ADA" w:rsidRDefault="00A67ADA">
      <w:pPr>
        <w:pStyle w:val="a"/>
      </w:pPr>
      <w:r>
        <w:t xml:space="preserve">платежные поручения с отметкой об исполнении, свидетельствующие об оплате акций; </w:t>
      </w:r>
    </w:p>
    <w:p w:rsidR="00A67ADA" w:rsidRDefault="00A67ADA">
      <w:pPr>
        <w:pStyle w:val="a"/>
      </w:pPr>
      <w:r>
        <w:t xml:space="preserve">акты приема-передачи материальных активов участника на баланс банка; </w:t>
      </w:r>
    </w:p>
    <w:p w:rsidR="00A67ADA" w:rsidRDefault="00A67ADA">
      <w:pPr>
        <w:pStyle w:val="a"/>
      </w:pPr>
      <w:r>
        <w:t xml:space="preserve">нотариально удостоверенную копию свидетельства о правесобственности банка на банковское здание, переданное инвестором в качестве оплаты акций. </w:t>
      </w:r>
    </w:p>
    <w:p w:rsidR="00A67ADA" w:rsidRDefault="00A67ADA">
      <w:r>
        <w:t xml:space="preserve">Подразделение территориального учреждения Банка России, осуществляющее лицензирование банковской деятельности, на основании полученных документов в срок, не превышающий 10 дней с момента получения всех необходимых документов, проверяет правомерность оплаты уставного капитала и направляет заключение в подразделение, осуществляющее регистрацию выпусков акций. </w:t>
      </w:r>
    </w:p>
    <w:p w:rsidR="00A67ADA" w:rsidRDefault="00A67ADA">
      <w:r>
        <w:t xml:space="preserve">Если размещение акций производилось за счет капитализации собственных средств банка-эмитента, проверка правомерности оплаты уставного капитала за счет этих средств не производится и данные об оплате указанных акций в заключение, составляемое по форме Приложения 6, не включаются. </w:t>
      </w:r>
    </w:p>
    <w:p w:rsidR="00A67ADA" w:rsidRDefault="00A67ADA">
      <w:r>
        <w:t xml:space="preserve">Банк-эмитент самостоятельно осуществляет контроль за правомерностью оплаты своего уставного капитала акционерами, приобретающими до 5% (включительно) акций банка-эмитента. После получения из соответствующего подразделения Банка России заключения, подтверждающего правомерность оплаты уставного капитала банка, и при отсутствии претензий, связанных с выпуском ценных бумаг банка, регистрирующий орган регистрирует отчет об итогах выпуска. </w:t>
      </w:r>
    </w:p>
    <w:p w:rsidR="00A67ADA" w:rsidRDefault="00A67ADA">
      <w:r>
        <w:t xml:space="preserve">При неполной оплате размещенных акций правомерность оплаты акций инвесторами, приобретающими более 5% акций банка-эмитента, определяется Департаментом контроля или соответствующим подразделением территориального учреждения Банка России, осуществляющим регистрацию выпусков ценных бумаг. </w:t>
      </w:r>
    </w:p>
    <w:p w:rsidR="00A67ADA" w:rsidRDefault="00A67ADA">
      <w:r>
        <w:t xml:space="preserve">Регистрирующий орган на основании полученных документов в срок, не превышающий срока, определенного для рассмотрения итогов выпуска, проверяет правомерность оплаты уставного капитала банка. </w:t>
      </w:r>
    </w:p>
    <w:p w:rsidR="00A67ADA" w:rsidRDefault="00A67ADA">
      <w:r>
        <w:t xml:space="preserve">После проверки правомерности оплаты уставного капитала банка и при отсутствии претензий, связанных с выпуском ценных бумаг банка, регистрирующий орган регистрирует отчет об итогах выпуска. </w:t>
      </w:r>
    </w:p>
    <w:p w:rsidR="00A67ADA" w:rsidRDefault="00A67ADA">
      <w:r>
        <w:t xml:space="preserve">При регистрации итогов выпуска ценных бумаг регистрирующий орган выдает банку-эмитенту соответствующее письмо и одну копию зарегистрированного отчета. При этом регистрирующий орган подтверждает государственный регистрационный номер выпуска ценных бумаг, выдает банка-эмитенту письмо в адрес Расчетно-кассового центра по месту ведения корреспондентского счета банка-эмитента с разрешением перечислить средства, находящиеся на накопительном счете банка-эмитента в Банке России, на корреспондентский счет банка-эмитента. После регистрации отчета об итогах выпуска акций снимаются все ограничения и запреты на использование денежных средств в валюте РФ и иностранной валюте, материальных активов, внесенных в оплату эмитируемых акций, и эти средства подлежат включению в расчет обязательных экономических нормативов деятельности банка. </w:t>
      </w:r>
    </w:p>
    <w:p w:rsidR="00A67ADA" w:rsidRDefault="00A67ADA">
      <w:r>
        <w:t xml:space="preserve">В свидетельстве, подтверждающем регистрацию итогов выпуска, указываются фактический объем зарегистрированного выпуска, количество и характеристика зарегистрированных ценных бумаг, а также присвоенный регистрационный номер и дата регистрации. В свидетельстве может также указываться общий объем уставного капитала банка, включающий итоги выпуска. </w:t>
      </w:r>
    </w:p>
    <w:p w:rsidR="00A67ADA" w:rsidRDefault="00A67ADA">
      <w:r>
        <w:t xml:space="preserve">Копию свидетельства о регистрации отчета об итогах выпуска акций регистрирующий орган направляет в подразделение территориального учреждения Банка России, осуществляющее лицензирование банковской деятельности. </w:t>
      </w:r>
    </w:p>
    <w:p w:rsidR="00A67ADA" w:rsidRDefault="00A67ADA">
      <w:pPr>
        <w:pStyle w:val="4"/>
      </w:pPr>
    </w:p>
    <w:p w:rsidR="00A67ADA" w:rsidRDefault="00A67ADA">
      <w:pPr>
        <w:pStyle w:val="4"/>
      </w:pPr>
      <w:r>
        <w:t xml:space="preserve">Раскрытие информации, содержащейся в отчете об итогах выпуска </w:t>
      </w:r>
    </w:p>
    <w:p w:rsidR="00A67ADA" w:rsidRDefault="00A67ADA">
      <w:r>
        <w:t xml:space="preserve">В случае, если отчет об итогах выпуска ценных бумаг зарегистрирован, банк-эмитент публикует итоги выпуска в печатном органе, где предварительно было опубликовано сообщение о выпуске, с указанием данных, которые банк считает целесообразным довести до сведения общественности, а также с указанием способа и места, где желающие могут ознакомиться с полным отчетом об итогах выпуска. </w:t>
      </w:r>
    </w:p>
    <w:p w:rsidR="00A67ADA" w:rsidRDefault="00A67ADA"/>
    <w:p w:rsidR="00A67ADA" w:rsidRDefault="00A67ADA">
      <w:pPr>
        <w:pStyle w:val="3"/>
      </w:pPr>
      <w:bookmarkStart w:id="8" w:name="_Toc218798758"/>
      <w:r>
        <w:t>2.3. Учет операций по выпуску ценных бумаг</w:t>
      </w:r>
      <w:bookmarkEnd w:id="8"/>
    </w:p>
    <w:p w:rsidR="00A67ADA" w:rsidRDefault="00A67ADA"/>
    <w:p w:rsidR="00A67ADA" w:rsidRDefault="00A67ADA">
      <w:r>
        <w:t xml:space="preserve">Учет средств, поступающих в оплату акций, выпускаемых при создании банка: </w:t>
      </w:r>
    </w:p>
    <w:p w:rsidR="00A67ADA" w:rsidRDefault="00A67ADA">
      <w:r>
        <w:t xml:space="preserve">А) Поступление средств в оплату акций при создании банка: </w:t>
      </w:r>
    </w:p>
    <w:p w:rsidR="00A67ADA" w:rsidRDefault="00A67ADA">
      <w:r>
        <w:t>Д-т 30102 "Корреспондентские счета банков в Банке России" – в валюте РФ</w:t>
      </w:r>
    </w:p>
    <w:p w:rsidR="00A67ADA" w:rsidRDefault="00A67ADA">
      <w:r>
        <w:t>30110 "Корреспондентские счета в кредитных организациях - корреспондентах" – поступление средств в иностранной валюте в оплату акций банка</w:t>
      </w:r>
    </w:p>
    <w:p w:rsidR="00A67ADA" w:rsidRDefault="00A67ADA">
      <w:r>
        <w:t>К-т соответствующих лицевых счетов акционеров на балансовых счетах второго порядка 10201-06 или 10301-06</w:t>
      </w:r>
    </w:p>
    <w:p w:rsidR="00A67ADA" w:rsidRDefault="00A67ADA">
      <w:r>
        <w:t xml:space="preserve">К-т 10602 "Эмиссионный доход" по отдельному лицевому счету – на сумму разницы между курсом ЦБ РФ на дату зачисления средств в уставный капитал и курсом, определенным в решении о выпуске акций. </w:t>
      </w:r>
    </w:p>
    <w:p w:rsidR="00A67ADA" w:rsidRDefault="00A67ADA">
      <w:r>
        <w:t xml:space="preserve">Б) Оплата акций материальными активами (банковскими зданиями): </w:t>
      </w:r>
    </w:p>
    <w:p w:rsidR="00A67ADA" w:rsidRDefault="00A67ADA">
      <w:r>
        <w:t xml:space="preserve">При реализации ценных бумаг (первичный выпуск) от инвесторов поступают взносы в следующем виде: материальными активами, которые принадлежат инвесторам и которые могут быть использованы в деятельности банка. При этом оформляются следующие документы: платежное поручение инвестора, акт приемки-передачи материальных активов. Доля материальных активов в структуре уставного фонда не должна превышать 20% на момент акционирования банка и в последующем должна быть доведена до 10%. В этом случае в балансе банка внесение средств материальными активами отражается следующим образом: </w:t>
      </w:r>
    </w:p>
    <w:p w:rsidR="00A67ADA" w:rsidRDefault="00A67ADA">
      <w:r>
        <w:t>Д-т: 60401, 60402, 60403</w:t>
      </w:r>
    </w:p>
    <w:p w:rsidR="00A67ADA" w:rsidRDefault="00A67ADA">
      <w:r>
        <w:t>К-т: 60322 "Расчеты с прочими дебиторами и кредиторами"</w:t>
      </w:r>
    </w:p>
    <w:p w:rsidR="00A67ADA" w:rsidRDefault="00A67ADA">
      <w:r>
        <w:t xml:space="preserve">Материальные ценности, внесенные покупателями в оплату акций, не могут быть проданы банком-эмитентом до регистрации итогов выпуска. </w:t>
      </w:r>
    </w:p>
    <w:p w:rsidR="00A67ADA" w:rsidRDefault="00A67ADA">
      <w:r>
        <w:t>Д-т 60401, 60402, 60403</w:t>
      </w:r>
    </w:p>
    <w:p w:rsidR="00A67ADA" w:rsidRDefault="00A67ADA">
      <w:r>
        <w:t xml:space="preserve">К-т соответствующих лицевых счетов акционеров на балансовых счетах второго порядка 10201-06 или 10301-06. </w:t>
      </w:r>
    </w:p>
    <w:p w:rsidR="00A67ADA" w:rsidRDefault="00A67ADA">
      <w:r>
        <w:t xml:space="preserve">Учет средств, поступающих в оплату дополнительных акций в период размещения. </w:t>
      </w:r>
    </w:p>
    <w:p w:rsidR="00A67ADA" w:rsidRDefault="00A67ADA">
      <w:r>
        <w:t xml:space="preserve">А) Учет денежных средств, поступающих в оплату акций в безналичном порядке: </w:t>
      </w:r>
    </w:p>
    <w:p w:rsidR="00A67ADA" w:rsidRDefault="00A67ADA">
      <w:r>
        <w:t>Д-т 30208 "Накопительные счета банков при выпуске акций" – в валюте Российской Федерации</w:t>
      </w:r>
    </w:p>
    <w:p w:rsidR="00A67ADA" w:rsidRDefault="00A67ADA">
      <w:r>
        <w:t xml:space="preserve">30110 </w:t>
      </w:r>
    </w:p>
    <w:p w:rsidR="00A67ADA" w:rsidRDefault="00A67ADA">
      <w:r>
        <w:t xml:space="preserve">К-т 60322 </w:t>
      </w:r>
    </w:p>
    <w:p w:rsidR="00A67ADA" w:rsidRDefault="00A67ADA">
      <w:r>
        <w:t xml:space="preserve">Все средства, внесенные в уплату акций до регистрации итогов выпуска, поступившие на корреспондентский счет должны в трехдневный срок перечисляться банком на накопительный корреспондентский счет: 30208 "Накопительные счета кредитных организаций при выпуске ценных бумаг". Данный счет открывается в Центральном банке при создании банка для того, чтобы банк не использовал данные денежные средства в обороте, проще говоря, они блокируются. </w:t>
      </w:r>
    </w:p>
    <w:p w:rsidR="00A67ADA" w:rsidRDefault="00A67ADA">
      <w:r>
        <w:t xml:space="preserve">По дебету счета проводятся поступающие в оплату акций суммы денежных средств: </w:t>
      </w:r>
    </w:p>
    <w:p w:rsidR="00A67ADA" w:rsidRDefault="00A67ADA">
      <w:pPr>
        <w:pStyle w:val="a"/>
      </w:pPr>
      <w:r>
        <w:t xml:space="preserve">в безналичном порядке на накопительный счет – в корреспонденции со счетом по учету расчетов с прочими кредиторами по лицевым счетам покупателей акций; </w:t>
      </w:r>
    </w:p>
    <w:p w:rsidR="00A67ADA" w:rsidRDefault="00A67ADA">
      <w:pPr>
        <w:pStyle w:val="a"/>
      </w:pPr>
      <w:r>
        <w:t xml:space="preserve">в случае оплаты акций наличными деньгами, средствами начисленных, но не выплаченных дивидендов в случае их капитализации, средствами, списанными по поручению клиентов с их расчетных или корреспондентских счетов, открытых в данном банке – в корреспонденции с корреспондентским счетом кредитной организации в Банке России. </w:t>
      </w:r>
    </w:p>
    <w:p w:rsidR="00A67ADA" w:rsidRDefault="00A67ADA">
      <w:r>
        <w:t xml:space="preserve">По кредиту счета списываются суммы средств: </w:t>
      </w:r>
    </w:p>
    <w:p w:rsidR="00A67ADA" w:rsidRDefault="00A67ADA">
      <w:pPr>
        <w:pStyle w:val="a"/>
      </w:pPr>
      <w:r>
        <w:t xml:space="preserve">после регистрации отчета об итогах выпуска при зачислении этих средств на корреспондентский счет банка-эмитента в Банке России одновременно с их оприходованием в уставный капитал акционерного банка – в корреспонденции с этим корреспондентским счетом; </w:t>
      </w:r>
    </w:p>
    <w:p w:rsidR="00A67ADA" w:rsidRDefault="00A67ADA">
      <w:pPr>
        <w:pStyle w:val="a"/>
      </w:pPr>
      <w:r>
        <w:t xml:space="preserve">в случае признания выпуска ценных бумаг несостоявшимся или расторжения договора купли-продажи акций в период проведения подписки при возврате денежных средств лицам, которые их внесли в процессе размещения акций, – в корреспонденции со счетом по учету расчетов с прочими кредиторами по лицевым счетам покупателей акций. В аналитическом учете ведется один лицевой счет в валюте Российской Федерации. </w:t>
      </w:r>
    </w:p>
    <w:p w:rsidR="00A67ADA" w:rsidRDefault="00A67ADA">
      <w:r>
        <w:t xml:space="preserve">Перечисление средств с корреспондентского счета на накопительный счет: </w:t>
      </w:r>
    </w:p>
    <w:p w:rsidR="00A67ADA" w:rsidRDefault="00A67ADA">
      <w:r>
        <w:t>Дебет: 30208 Кредит: 30102</w:t>
      </w:r>
    </w:p>
    <w:p w:rsidR="00A67ADA" w:rsidRDefault="00A67ADA">
      <w:r>
        <w:t xml:space="preserve">В Расчетно-кассовом центре: </w:t>
      </w:r>
    </w:p>
    <w:p w:rsidR="00A67ADA" w:rsidRDefault="00A67ADA">
      <w:r>
        <w:t>Дебет: 30102 Кредит: 30208</w:t>
      </w:r>
    </w:p>
    <w:p w:rsidR="00A67ADA" w:rsidRDefault="00A67ADA">
      <w:r>
        <w:t xml:space="preserve">После регистрации итогов выпуска средства с накопительного счета перечисляются на корреспондентский счет, а средства, поступившие в уплату акций, которые были учтены на счете 60322, перечисляются в уставной капитал банка на счета 102,103 на соответствующие балансовые счета второго порядка. На этих счетах открываются лицевые счета акционерам банка. Операция отражается мемориальным ордером. </w:t>
      </w:r>
    </w:p>
    <w:p w:rsidR="00A67ADA" w:rsidRDefault="00A67ADA">
      <w:r>
        <w:t>Дебет: 60322</w:t>
      </w:r>
    </w:p>
    <w:p w:rsidR="00A67ADA" w:rsidRDefault="00A67ADA">
      <w:r>
        <w:t>Кредит: 102, 103</w:t>
      </w:r>
    </w:p>
    <w:p w:rsidR="00A67ADA" w:rsidRDefault="00A67ADA">
      <w:r>
        <w:t xml:space="preserve">Оставшаяся сумма непроданных акций банком учитывается на внебалансовом счете 90601 "Неоплаченная сумма уставного капитала акционерного банка". </w:t>
      </w:r>
    </w:p>
    <w:p w:rsidR="00A67ADA" w:rsidRDefault="00A67ADA">
      <w:r>
        <w:t xml:space="preserve">Эта оставшаяся часть банком реализуется в течение полугода после регистрации итогов выпуска, либо в течение одного года, если банк просит об этом Центральный банк и получает в ответ разрешение. </w:t>
      </w:r>
    </w:p>
    <w:p w:rsidR="00A67ADA" w:rsidRDefault="00A67ADA">
      <w:r>
        <w:t xml:space="preserve">Б) Оплата акций наличными денежными средствами: </w:t>
      </w:r>
    </w:p>
    <w:p w:rsidR="00A67ADA" w:rsidRDefault="00A67ADA">
      <w:r>
        <w:t>Д-т 20202 "Касса банков"</w:t>
      </w:r>
    </w:p>
    <w:p w:rsidR="00A67ADA" w:rsidRDefault="00A67ADA">
      <w:r>
        <w:t xml:space="preserve">К-т 60322 "Расчеты с прочими кредиторами" по лицевым счетам покупателей. </w:t>
      </w:r>
    </w:p>
    <w:p w:rsidR="00A67ADA" w:rsidRDefault="00A67ADA">
      <w:r>
        <w:t xml:space="preserve">Перечисление в трехдневный срок эквивалента принятой в наличной форме суммы средств: </w:t>
      </w:r>
    </w:p>
    <w:p w:rsidR="00A67ADA" w:rsidRDefault="00A67ADA">
      <w:r>
        <w:t xml:space="preserve">Д-т 30208 К-т 30102 </w:t>
      </w:r>
    </w:p>
    <w:p w:rsidR="00A67ADA" w:rsidRDefault="00A67ADA">
      <w:r>
        <w:t xml:space="preserve">Инкассирование выручки в учреждении Банка России: </w:t>
      </w:r>
    </w:p>
    <w:p w:rsidR="00A67ADA" w:rsidRDefault="00A67ADA">
      <w:r>
        <w:t xml:space="preserve">Д-т 30208 К-т 20202 </w:t>
      </w:r>
    </w:p>
    <w:p w:rsidR="00A67ADA" w:rsidRDefault="00A67ADA">
      <w:r>
        <w:t xml:space="preserve">В) Если покупателями акций являются клиенты банка: </w:t>
      </w:r>
    </w:p>
    <w:p w:rsidR="00A67ADA" w:rsidRDefault="00A67ADA">
      <w:r>
        <w:t>Д-т расчетных (текущих) счетов клиентов, депозитных счетов физических лиц</w:t>
      </w:r>
    </w:p>
    <w:p w:rsidR="00A67ADA" w:rsidRDefault="00A67ADA">
      <w:r>
        <w:t xml:space="preserve">К-т 60322 "Расчеты с прочими кредиторами" </w:t>
      </w:r>
    </w:p>
    <w:p w:rsidR="00A67ADA" w:rsidRDefault="00A67ADA">
      <w:r>
        <w:t xml:space="preserve">Перечисление в 3-х дневный срок эквивалента средств в оплату акций: </w:t>
      </w:r>
    </w:p>
    <w:p w:rsidR="00A67ADA" w:rsidRDefault="00A67ADA">
      <w:r>
        <w:t xml:space="preserve">Д-т 30208 К-т 30102 </w:t>
      </w:r>
    </w:p>
    <w:p w:rsidR="00A67ADA" w:rsidRDefault="00A67ADA">
      <w:r>
        <w:t xml:space="preserve">Г) Учет материальных активов, поступающих в оплату акций: </w:t>
      </w:r>
    </w:p>
    <w:p w:rsidR="00A67ADA" w:rsidRDefault="00A67ADA">
      <w:r>
        <w:t>Д-т 60401 "Категория 1 - Здания и сооружения"</w:t>
      </w:r>
    </w:p>
    <w:p w:rsidR="00A67ADA" w:rsidRDefault="00A67ADA">
      <w:r>
        <w:t>К-т 60322</w:t>
      </w:r>
    </w:p>
    <w:p w:rsidR="00A67ADA" w:rsidRDefault="00A67ADA">
      <w:r>
        <w:t xml:space="preserve">Отражение операций после регистрации отчета об итогах выпуска акций. </w:t>
      </w:r>
    </w:p>
    <w:p w:rsidR="00A67ADA" w:rsidRDefault="00A67ADA">
      <w:r>
        <w:t xml:space="preserve">Зачисление средств с накопительного счета на корреспондентский счет: </w:t>
      </w:r>
    </w:p>
    <w:p w:rsidR="00A67ADA" w:rsidRDefault="00A67ADA">
      <w:r>
        <w:t xml:space="preserve">Д-т 30102 К-т 30208 </w:t>
      </w:r>
    </w:p>
    <w:p w:rsidR="00A67ADA" w:rsidRDefault="00A67ADA">
      <w:r>
        <w:t xml:space="preserve">Зачисление денежных средств в валюте Российской Федерации и материальных ценностей в уставный: </w:t>
      </w:r>
    </w:p>
    <w:p w:rsidR="00A67ADA" w:rsidRDefault="00A67ADA">
      <w:r>
        <w:t>Д-т 60322 К-т соответствующих лицевых счетов акционеров на балансовых счетах второго порядка №10201-06 или №10301-06 на сумму оплаченной номинальной стоимости акций</w:t>
      </w:r>
    </w:p>
    <w:p w:rsidR="00A67ADA" w:rsidRDefault="00A67ADA">
      <w:r>
        <w:t xml:space="preserve">К-т 10602 "Эмиссионный доход" на сумму разницы между ценой размещения акций и их номинальной стоимостью – в случае размещения акций по цене, превышающей номинальную стоимость акций. </w:t>
      </w:r>
    </w:p>
    <w:p w:rsidR="00A67ADA" w:rsidRDefault="00A67ADA">
      <w:r>
        <w:t xml:space="preserve">Зачисление поступивших средств в иностранной валюте в уставный капитал: </w:t>
      </w:r>
    </w:p>
    <w:p w:rsidR="00A67ADA" w:rsidRDefault="00A67ADA">
      <w:r>
        <w:t xml:space="preserve">Д-т 60322 К-т соответствующих лицевых счетов акционеров на балансовых счетах второго порядка 10201-06 или 10301-06 на сумму оплаченной номинальной стоимости акций, 10602 "Эмиссионный доход". </w:t>
      </w:r>
    </w:p>
    <w:p w:rsidR="00A67ADA" w:rsidRDefault="00A67ADA">
      <w:r>
        <w:t xml:space="preserve">3. Неоплаченная сумма акций зачисляется на внебалансовый счет 90601 "Неоплаченная сумма уставного капитала акционерного банка" по лицевым счетам покупателей акций в корреспонденции со счетом 99999 "Счет для корреспонденции с активными счетами при двойной записи". </w:t>
      </w:r>
    </w:p>
    <w:p w:rsidR="00A67ADA" w:rsidRDefault="00A67ADA">
      <w:r>
        <w:t xml:space="preserve">Списание сумм со счета 90601 производится после полной оплаты акций. </w:t>
      </w:r>
    </w:p>
    <w:p w:rsidR="00A67ADA" w:rsidRDefault="00A67ADA">
      <w:r>
        <w:t xml:space="preserve">Отражение в учете операций по размещению акций в рассрочку: </w:t>
      </w:r>
    </w:p>
    <w:p w:rsidR="00A67ADA" w:rsidRDefault="00A67ADA">
      <w:r>
        <w:t xml:space="preserve">1. Зачисление доплаты за не полностью оплаченные акции, поступающей в течение установленного срока: </w:t>
      </w:r>
    </w:p>
    <w:p w:rsidR="00A67ADA" w:rsidRDefault="00A67ADA">
      <w:r>
        <w:t xml:space="preserve">Д-т 20202 К-т соответствующих лицевых счетов акционеров на балансовых счетах второго порядка 10201-06 или 10301-06. </w:t>
      </w:r>
    </w:p>
    <w:p w:rsidR="00A67ADA" w:rsidRDefault="00A67ADA">
      <w:r>
        <w:t xml:space="preserve">Одновременно средства, поступившие в оплату уставного капитала, отражаются по кредиту внебалансового счета 90601 в корреспонденции со счетом 99999. </w:t>
      </w:r>
    </w:p>
    <w:p w:rsidR="00A67ADA" w:rsidRDefault="00A67ADA">
      <w:r>
        <w:t xml:space="preserve">Учет не оплаченных в установленный срок акций. </w:t>
      </w:r>
    </w:p>
    <w:p w:rsidR="00A67ADA" w:rsidRDefault="00A67ADA">
      <w:r>
        <w:t xml:space="preserve">1. Перенос средств по не оплаченным в срок акциям на отдельный лицевой счет по их учету: </w:t>
      </w:r>
    </w:p>
    <w:p w:rsidR="00A67ADA" w:rsidRDefault="00A67ADA">
      <w:r>
        <w:t>Д-т соответствующих лицевых счетов акционеров на балансовых счетах второго порядка 10201-06 или 10301-06</w:t>
      </w:r>
    </w:p>
    <w:p w:rsidR="00A67ADA" w:rsidRDefault="00A67ADA">
      <w:r>
        <w:t xml:space="preserve">К-т 10204 или 10304 по лицевому счету учета акций, перешедших в распоряжение банка. </w:t>
      </w:r>
    </w:p>
    <w:p w:rsidR="00A67ADA" w:rsidRDefault="00A67ADA">
      <w:r>
        <w:t xml:space="preserve">2. Отражение неоплаченных акций на балансе банка: </w:t>
      </w:r>
    </w:p>
    <w:p w:rsidR="00A67ADA" w:rsidRDefault="00A67ADA">
      <w:r>
        <w:t>Д-т 10501 "Собственные акции, выкупленные у акционеров" – на номинальную стоимость акций</w:t>
      </w:r>
    </w:p>
    <w:p w:rsidR="00A67ADA" w:rsidRDefault="00A67ADA">
      <w:r>
        <w:t>К-т 10204 или 10304 – на неоплаченную номинальную стоимость акций по лицевому счету учета акций, перешедших в распоряжение банка</w:t>
      </w:r>
    </w:p>
    <w:p w:rsidR="00A67ADA" w:rsidRDefault="00A67ADA">
      <w:r>
        <w:t xml:space="preserve">К-т 70102 "Доходы, полученные от операций с ценными бумагами" по символу "Доходы от перепродажи ценных бумаг банков" на сумму внесенных за акции денежных средств. </w:t>
      </w:r>
    </w:p>
    <w:p w:rsidR="00A67ADA" w:rsidRDefault="00A67ADA">
      <w:r>
        <w:t xml:space="preserve">Одновременно неоплаченная часть уставного капитала списывается со счета 90601 в корреспонденции со счетом 99999. </w:t>
      </w:r>
    </w:p>
    <w:p w:rsidR="00A67ADA" w:rsidRDefault="00A67ADA">
      <w:r>
        <w:t xml:space="preserve">3. При уменьшении уставного капитала, если неоплаченные акции не реализованы по истечении одного года с момента их поступления в распоряжение банка: </w:t>
      </w:r>
    </w:p>
    <w:p w:rsidR="00A67ADA" w:rsidRDefault="00A67ADA">
      <w:r>
        <w:t>Д-т 10204 и 10304 по отдельному лицевому счету учета акций, перешедших в распоряжение банка</w:t>
      </w:r>
    </w:p>
    <w:p w:rsidR="00A67ADA" w:rsidRDefault="00A67ADA">
      <w:r>
        <w:t xml:space="preserve">К-т 10501 "Собственные акции, выкупленные у акционеров". </w:t>
      </w:r>
    </w:p>
    <w:p w:rsidR="00A67ADA" w:rsidRDefault="00A67ADA">
      <w:r>
        <w:t xml:space="preserve">Учет операций при размещении акций банка путем капитализации прочих собственных средств: </w:t>
      </w:r>
    </w:p>
    <w:p w:rsidR="00A67ADA" w:rsidRDefault="00A67ADA">
      <w:r>
        <w:t xml:space="preserve">Капитализируемая часть собственных средств, за исключением дивидендов, не выплаченных акционерам, не зачисляется на накопительный счет и перечисление этих средств с балансовых счетов на счета уставного фонда должно производится только после регистрации отчета об итогах выпуска акций. </w:t>
      </w:r>
    </w:p>
    <w:p w:rsidR="00A67ADA" w:rsidRDefault="00A67ADA">
      <w:r>
        <w:t xml:space="preserve">Бланки проданных акций банк будет учитывать на внебалансовом счете 90701 "Бланки собственных ценных бумаг для распространения": </w:t>
      </w:r>
    </w:p>
    <w:p w:rsidR="00A67ADA" w:rsidRDefault="00A67ADA">
      <w:r>
        <w:t>Д-т: 99999 К-т: 90701</w:t>
      </w:r>
    </w:p>
    <w:p w:rsidR="00A67ADA" w:rsidRDefault="00A67ADA">
      <w:r>
        <w:t xml:space="preserve">Расходы по изготовлению бланков акций банк-эмитент относит на счет 70204 "Расходы по операциям с ценными бумагами". </w:t>
      </w:r>
    </w:p>
    <w:p w:rsidR="00A67ADA" w:rsidRDefault="00A67ADA">
      <w:r>
        <w:t>Учет выпуска и реализации облигаций</w:t>
      </w:r>
    </w:p>
    <w:p w:rsidR="00A67ADA" w:rsidRDefault="00A67ADA">
      <w:r>
        <w:t xml:space="preserve">Операции по выпуску собственных облигаций учитывается в пятом разделе плана счетов на счете 520 "Выпущенные облигации". </w:t>
      </w:r>
    </w:p>
    <w:p w:rsidR="00A67ADA" w:rsidRDefault="00A67ADA">
      <w:r>
        <w:t xml:space="preserve">Выпущенные долговые обязательства учитываются банком по номинальной стоимости. Бланки долговых обязательств являются бланками строгой отчетности и учитываются на внебалансовом счете 90701 "Бланки собственных ценных бумаг, для распространения", по приходу отражается поступившие для реализации бланки, по расходу реализованные. При продаже собственных облигаций банк оформляет договор купли-продажи с клиентами. Если покупатель юридическое лицо, то оформляется платежное поручение, если физическое лицо – приходно-кассовый ордер. </w:t>
      </w:r>
    </w:p>
    <w:p w:rsidR="00A67ADA" w:rsidRDefault="00A67ADA">
      <w:r>
        <w:t xml:space="preserve">При продаже облигации юридическому лицу оформляется также следующие документы: </w:t>
      </w:r>
    </w:p>
    <w:p w:rsidR="00A67ADA" w:rsidRDefault="00A67ADA">
      <w:pPr>
        <w:pStyle w:val="a"/>
      </w:pPr>
      <w:r>
        <w:t>заявление на покупку ценной бумаги,</w:t>
      </w:r>
    </w:p>
    <w:p w:rsidR="00A67ADA" w:rsidRDefault="00A67ADA">
      <w:pPr>
        <w:pStyle w:val="a"/>
      </w:pPr>
      <w:r>
        <w:t xml:space="preserve">доверенность на получение ценной бумаги доверенного лица предприятия. </w:t>
      </w:r>
    </w:p>
    <w:p w:rsidR="00A67ADA" w:rsidRDefault="00A67ADA">
      <w:r>
        <w:t xml:space="preserve">По всем выпущенным облигациям банк обязан вести журналы (книги) по учету долговых обязательств, в котором должны быть следующая информация: </w:t>
      </w:r>
    </w:p>
    <w:p w:rsidR="00A67ADA" w:rsidRDefault="00A67ADA">
      <w:r>
        <w:t>1. дата выпуска 4. срок обращения 7. срок обращения</w:t>
      </w:r>
    </w:p>
    <w:p w:rsidR="00A67ADA" w:rsidRDefault="00A67ADA">
      <w:r>
        <w:t>2. регистрационный номер 5. номинал 8. инвестор</w:t>
      </w:r>
    </w:p>
    <w:p w:rsidR="00A67ADA" w:rsidRDefault="00A67ADA">
      <w:r>
        <w:t xml:space="preserve">3. дата продажи 6. цена продажи 9. проценты. </w:t>
      </w:r>
    </w:p>
    <w:p w:rsidR="00A67ADA" w:rsidRDefault="00A67ADA">
      <w:r>
        <w:t xml:space="preserve">При продаже облигации составляется следующая проводка: </w:t>
      </w:r>
    </w:p>
    <w:p w:rsidR="00A67ADA" w:rsidRDefault="00A67ADA">
      <w:r>
        <w:t xml:space="preserve">Д-т: 20202 "Касса кредитных организации", "Расчетный счет клиента", 30102 </w:t>
      </w:r>
    </w:p>
    <w:p w:rsidR="00A67ADA" w:rsidRDefault="00A67ADA">
      <w:r>
        <w:t xml:space="preserve">К-т: 520 "Выпущенные облигации". </w:t>
      </w:r>
    </w:p>
    <w:p w:rsidR="00A67ADA" w:rsidRDefault="00A67ADA">
      <w:r>
        <w:t xml:space="preserve">Если данная ценная бумага по цене ниже номинала, то разницу относят на балансовый счет 61402 "Расходы будущих периодов по ценным бумагам". </w:t>
      </w:r>
    </w:p>
    <w:p w:rsidR="00A67ADA" w:rsidRDefault="00A67ADA">
      <w:r>
        <w:t xml:space="preserve">Если облигация продается выше номинала, то разница относится в доходы банка по ценным бумагам на балансовом счете 70102 "Доходы полученные от операции с ценными бумагами". </w:t>
      </w:r>
    </w:p>
    <w:p w:rsidR="00A67ADA" w:rsidRDefault="00A67ADA">
      <w:r>
        <w:t xml:space="preserve">При выкупе долговых обязательств банка по истечении срока, состовляется следующие проводки: </w:t>
      </w:r>
    </w:p>
    <w:p w:rsidR="00A67ADA" w:rsidRDefault="00A67ADA">
      <w:r>
        <w:t xml:space="preserve">Д-т: 520 "Выпущенные облигации"  К-т: 20202 "Касса кредитных организаций". </w:t>
      </w:r>
    </w:p>
    <w:p w:rsidR="00A67ADA" w:rsidRDefault="00A67ADA">
      <w:r>
        <w:t xml:space="preserve">Выкуп производится по номиналу. Если данное обязательство было ранее продано по цене ниже номинала, выписывается мемориальный ордер и расходы будущих периодов списывается на текучие расходы. При этом: </w:t>
      </w:r>
    </w:p>
    <w:p w:rsidR="00A67ADA" w:rsidRDefault="00A67ADA">
      <w:r>
        <w:t>Д-т: 70204 "Расходы по операциям с ценными бумагами"</w:t>
      </w:r>
    </w:p>
    <w:p w:rsidR="00A67ADA" w:rsidRDefault="00A67ADA">
      <w:r>
        <w:t xml:space="preserve">К-т: 61402 "Расходы будущих периодов по ценным бумагам". </w:t>
      </w:r>
    </w:p>
    <w:p w:rsidR="00A67ADA" w:rsidRDefault="00A67ADA">
      <w:r>
        <w:t xml:space="preserve">Если долговые обязательства выкупаются до срока погашения, то владельцу ценной бумаги выплачивается стоимость ценной бумаги, которая рассчитывается с учетом дней, остающихся до срока погашения. </w:t>
      </w:r>
    </w:p>
    <w:p w:rsidR="00A67ADA" w:rsidRDefault="00A67ADA">
      <w:pPr>
        <w:pStyle w:val="4"/>
      </w:pPr>
    </w:p>
    <w:p w:rsidR="00A67ADA" w:rsidRDefault="00A67ADA">
      <w:pPr>
        <w:pStyle w:val="4"/>
      </w:pPr>
      <w:r>
        <w:t>Учет выпуска и реализации прочих долговых обязательств</w:t>
      </w:r>
    </w:p>
    <w:p w:rsidR="00A67ADA" w:rsidRDefault="00A67ADA">
      <w:r>
        <w:t xml:space="preserve">С целью учета проданных сертификатов коммерческие банки ведут специальные регистрационные журналы или предусматривают выпуск сертификатов со специальными отрывными корешками, содержащими те же регистрационные реквизиты. Учет сертификатов ведется на балансовых счетах 521 "Выпущенные депозитные сертификаты" и 522 "Выпущенные сберегательные сертификаты". </w:t>
      </w:r>
    </w:p>
    <w:p w:rsidR="00A67ADA" w:rsidRDefault="00A67ADA">
      <w:r>
        <w:t xml:space="preserve">Выпуск банком депозитных сертификатов в обращение: </w:t>
      </w:r>
    </w:p>
    <w:p w:rsidR="00A67ADA" w:rsidRDefault="00A67ADA">
      <w:r>
        <w:t xml:space="preserve">Д-т: счет клиента К-т: 521 "Выпущенные депозитные сертификаты". </w:t>
      </w:r>
    </w:p>
    <w:p w:rsidR="00A67ADA" w:rsidRDefault="00A67ADA">
      <w:r>
        <w:t xml:space="preserve">Операции по продаже сберегательных сертификатов населению за наличные деньги отражаются следующими проводками: </w:t>
      </w:r>
    </w:p>
    <w:p w:rsidR="00A67ADA" w:rsidRDefault="00A67ADA">
      <w:r>
        <w:t xml:space="preserve">Д-т: 20202 К-т: 522 "Выпущенные сберегательные сертификаты". </w:t>
      </w:r>
    </w:p>
    <w:p w:rsidR="00A67ADA" w:rsidRDefault="00A67ADA">
      <w:pPr>
        <w:pStyle w:val="4"/>
      </w:pPr>
    </w:p>
    <w:p w:rsidR="00A67ADA" w:rsidRDefault="00A67ADA">
      <w:pPr>
        <w:pStyle w:val="4"/>
      </w:pPr>
      <w:r>
        <w:t>Учет векселей</w:t>
      </w:r>
    </w:p>
    <w:p w:rsidR="00A67ADA" w:rsidRDefault="00A67ADA">
      <w:r>
        <w:t xml:space="preserve">Бланки векселей учитываются на внебалансовом счете 90701 "Бланки собственных ценных бумаг для распространения" в условной оценке один рубль за бланк. Учет номинальной стоимости собственных простых векселей осуществляется на балансовом счете 523 "Выпущенные векселя и банковские акцепты" по срокам погашения на счетах второго порядка. Аналитический учет ведется раздельно по видам векселей, кроме того, ведут отдельные лицевые счета по каждому векселедержателю. После получения разрешения на оплату из ЦБД ИС "Вексель", а также при выдаче первому векселедержателю векселя выписанного в его отсутствие, номинальная стоимость векселя отражается: </w:t>
      </w:r>
    </w:p>
    <w:p w:rsidR="00A67ADA" w:rsidRDefault="00A67ADA">
      <w:r>
        <w:t xml:space="preserve">Д-т: 99999 К-т: 91202 "Разные ценности и документы". </w:t>
      </w:r>
    </w:p>
    <w:p w:rsidR="00A67ADA" w:rsidRDefault="00A67ADA">
      <w:r>
        <w:t xml:space="preserve">Сумма денежных средств, поступивших на счет банка от клиента на покупку простого процентного векселя, отражается: </w:t>
      </w:r>
    </w:p>
    <w:p w:rsidR="00A67ADA" w:rsidRDefault="00A67ADA">
      <w:r>
        <w:t>Д-т: 20202 "Касса кредитных организаций"</w:t>
      </w:r>
    </w:p>
    <w:p w:rsidR="00A67ADA" w:rsidRDefault="00A67ADA">
      <w:r>
        <w:t>30102 "Корреспондентские счета в кредитных организациях – корреспондентах"</w:t>
      </w:r>
    </w:p>
    <w:p w:rsidR="00A67ADA" w:rsidRDefault="00A67ADA">
      <w:r>
        <w:t>30114 "Корреспондентские счета в банках – нерезидентах в СКВ"</w:t>
      </w:r>
    </w:p>
    <w:p w:rsidR="00A67ADA" w:rsidRDefault="00A67ADA">
      <w:r>
        <w:t>423 "Депозиты физических лиц"</w:t>
      </w:r>
    </w:p>
    <w:p w:rsidR="00A67ADA" w:rsidRDefault="00A67ADA">
      <w:r>
        <w:t>К-т: 50201-52307</w:t>
      </w:r>
    </w:p>
    <w:p w:rsidR="00A67ADA" w:rsidRDefault="00A67ADA">
      <w:r>
        <w:t xml:space="preserve">Аналогично отражается сумма проданных дисконтных векселей по счетам баланса. </w:t>
      </w:r>
    </w:p>
    <w:p w:rsidR="00A67ADA" w:rsidRDefault="00A67ADA"/>
    <w:p w:rsidR="00A67ADA" w:rsidRDefault="00A67ADA">
      <w:pPr>
        <w:pStyle w:val="2"/>
      </w:pPr>
      <w:r>
        <w:br w:type="page"/>
      </w:r>
      <w:bookmarkStart w:id="9" w:name="_Toc218798759"/>
      <w:r>
        <w:t>3. Анализ эмиссионной деятельности Уваровского филиала  АКБ</w:t>
      </w:r>
      <w:bookmarkEnd w:id="9"/>
      <w:r>
        <w:t xml:space="preserve"> </w:t>
      </w:r>
    </w:p>
    <w:p w:rsidR="00A67ADA" w:rsidRDefault="00A67ADA">
      <w:pPr>
        <w:pStyle w:val="2"/>
      </w:pPr>
      <w:bookmarkStart w:id="10" w:name="_Toc218798760"/>
      <w:r>
        <w:t>"Тамбовкредитпромбанк" (ОАО)</w:t>
      </w:r>
      <w:bookmarkEnd w:id="10"/>
      <w:r>
        <w:t xml:space="preserve"> </w:t>
      </w:r>
    </w:p>
    <w:p w:rsidR="00A67ADA" w:rsidRDefault="00A67ADA"/>
    <w:p w:rsidR="00A67ADA" w:rsidRDefault="00A67ADA">
      <w:pPr>
        <w:pStyle w:val="3"/>
      </w:pPr>
      <w:bookmarkStart w:id="11" w:name="_Toc218798761"/>
      <w:r>
        <w:t>3.1. Оценка эмиссионной деятельности Уваровского филиала АКБ "Тамбовкредитпромбанк" (ОАО)</w:t>
      </w:r>
      <w:bookmarkEnd w:id="11"/>
      <w:r>
        <w:t xml:space="preserve"> </w:t>
      </w:r>
    </w:p>
    <w:p w:rsidR="00A67ADA" w:rsidRDefault="00A67ADA"/>
    <w:p w:rsidR="00A67ADA" w:rsidRDefault="00A67ADA">
      <w:r>
        <w:t xml:space="preserve">Коммерческие банки стали эффективно развиваться в начале 90-х годов. Об этом свидетельствует значительная часть капиталов, привлеченная ими на фондовом рынке в этот период времени. Банковская сфера позволяла получать заметную прибыль и многие коммерческие банки за относительно короткое время достигли такого уровня своего развития, на котором стали испытывать потребность в расширении своих уставных фондов. </w:t>
      </w:r>
    </w:p>
    <w:p w:rsidR="00A67ADA" w:rsidRDefault="00A67ADA">
      <w:r>
        <w:t xml:space="preserve">Эмиссия акций позволила решить такую проблему. Целый ряд коммерческих банков осуществил формирование и расширение своих уставных фондов путем их открытой продажи. Так банковские акции заняли важное место на рынке частных ценных бумаг. Цены на них отличались большей стабильностью, чем цены на акции бирж. </w:t>
      </w:r>
    </w:p>
    <w:p w:rsidR="00A67ADA" w:rsidRDefault="00A67ADA">
      <w:r>
        <w:t xml:space="preserve">Уваровский филиал АКБ "Тамбовкредит-промбанк" (ОАО) является Кредитной организацией и действует в форме ОАО. </w:t>
      </w:r>
    </w:p>
    <w:p w:rsidR="00A67ADA" w:rsidRDefault="00A67ADA">
      <w:r>
        <w:t xml:space="preserve">Собственные средства банка состоят из уставного капитала, резервного, страховых и иных фондов. Уставный капитал зарегистрирован в сумме 30000 тыс. руб. </w:t>
      </w:r>
    </w:p>
    <w:p w:rsidR="00A67ADA" w:rsidRDefault="00A67ADA">
      <w:r>
        <w:t xml:space="preserve">На рынке ценных бумаг банк выполняет следующие функции: </w:t>
      </w:r>
    </w:p>
    <w:p w:rsidR="00A67ADA" w:rsidRDefault="00A67ADA">
      <w:r>
        <w:t xml:space="preserve">Успешно оперирует государственными и иными ценными бумагами; </w:t>
      </w:r>
    </w:p>
    <w:p w:rsidR="00A67ADA" w:rsidRDefault="00A67ADA">
      <w:r>
        <w:t xml:space="preserve">Осуществляет выпуск собственных векселей. </w:t>
      </w:r>
    </w:p>
    <w:p w:rsidR="00A67ADA" w:rsidRDefault="00A67ADA">
      <w:r>
        <w:t xml:space="preserve">В 1996 году банк разработал Положение по работе с собственными векселями и приступил к их выпуску. К этому руководство банка побудило ряд обстоятельств: </w:t>
      </w:r>
    </w:p>
    <w:p w:rsidR="00A67ADA" w:rsidRDefault="00A67ADA">
      <w:pPr>
        <w:pStyle w:val="a"/>
      </w:pPr>
      <w:r>
        <w:t xml:space="preserve">банк испытывал недостачу в привлеченных ресурсах для совершения активных операций, что привело к необходимости выпуска данного финансового инструмента; </w:t>
      </w:r>
    </w:p>
    <w:p w:rsidR="00A67ADA" w:rsidRDefault="00A67ADA">
      <w:pPr>
        <w:pStyle w:val="a"/>
      </w:pPr>
      <w:r>
        <w:t xml:space="preserve">захлестнувший страну кризис неплатежей не дал возможности остаться банку в стороне. </w:t>
      </w:r>
    </w:p>
    <w:p w:rsidR="00A67ADA" w:rsidRDefault="00A67ADA">
      <w:r>
        <w:t xml:space="preserve">Банковский персонал банка не многочислен, поэтому работа с ценными бумагами входит в компетенцию работников кредитного отдела. Начальник кредитного отдела осуществляет руководство по работе с ценными бумагами, а главный специалист отдела: </w:t>
      </w:r>
    </w:p>
    <w:p w:rsidR="00A67ADA" w:rsidRDefault="00A67ADA">
      <w:pPr>
        <w:pStyle w:val="a"/>
      </w:pPr>
      <w:r>
        <w:t xml:space="preserve">осуществляет подготовку и проведение эмиссии ценных бумаг; </w:t>
      </w:r>
    </w:p>
    <w:p w:rsidR="00A67ADA" w:rsidRDefault="00A67ADA">
      <w:pPr>
        <w:pStyle w:val="a"/>
      </w:pPr>
      <w:r>
        <w:t xml:space="preserve">проводит реализацию ценных бумаг; </w:t>
      </w:r>
    </w:p>
    <w:p w:rsidR="00A67ADA" w:rsidRDefault="00A67ADA">
      <w:pPr>
        <w:pStyle w:val="a"/>
      </w:pPr>
      <w:r>
        <w:t xml:space="preserve">составляет отчетность банка по ценным бумагам и сведения о предстоящем выпуске ценных бумаг; </w:t>
      </w:r>
    </w:p>
    <w:p w:rsidR="00A67ADA" w:rsidRDefault="00A67ADA">
      <w:pPr>
        <w:pStyle w:val="a"/>
      </w:pPr>
      <w:r>
        <w:t xml:space="preserve">регестрирует итоги выпуска ценных бумаг. </w:t>
      </w:r>
    </w:p>
    <w:p w:rsidR="00A67ADA" w:rsidRDefault="00A67ADA">
      <w:r>
        <w:t xml:space="preserve">Такое положение дел обусловлено и тем обстоятельством, что банк широко и довольно успешно практикует представление вексельных кредитов. </w:t>
      </w:r>
    </w:p>
    <w:p w:rsidR="00A67ADA" w:rsidRDefault="00A67ADA">
      <w:r>
        <w:t xml:space="preserve">С моей точки зрения, потенциал банка в области выпуска ценных бумаг раскрыт не в полной мере. Подумав о разработке новых финансовых инструментов, Уваровский филиал АКБ "Тамбовкредит-промбанк" (ОАО) мог бы иметь шанс на получение более высокой рейтинговой оценки. Главная его задача на данный момент – повышение эффективности проведения эмиссионной деятельности. </w:t>
      </w:r>
    </w:p>
    <w:p w:rsidR="00A67ADA" w:rsidRDefault="00A67ADA"/>
    <w:p w:rsidR="00A67ADA" w:rsidRDefault="00A67ADA">
      <w:pPr>
        <w:pStyle w:val="3"/>
      </w:pPr>
      <w:bookmarkStart w:id="12" w:name="_Toc218798762"/>
      <w:r>
        <w:t>3.2. Вексель АКБ "Тамбовкредитпромбанк" (ОАО)</w:t>
      </w:r>
      <w:bookmarkEnd w:id="12"/>
      <w:r>
        <w:t xml:space="preserve"> </w:t>
      </w:r>
    </w:p>
    <w:p w:rsidR="00A67ADA" w:rsidRDefault="00A67ADA"/>
    <w:p w:rsidR="00A67ADA" w:rsidRDefault="00A67ADA">
      <w:r>
        <w:t xml:space="preserve">Вексель АКБ "Тамбовкредитпромбанк" (ОАО) – долговая ордерная ценная бумага, используемая: </w:t>
      </w:r>
    </w:p>
    <w:p w:rsidR="00A67ADA" w:rsidRDefault="00A67ADA">
      <w:pPr>
        <w:pStyle w:val="a"/>
      </w:pPr>
      <w:r>
        <w:t xml:space="preserve">для привлечения свободных денежных средств банком; </w:t>
      </w:r>
    </w:p>
    <w:p w:rsidR="00A67ADA" w:rsidRDefault="00A67ADA">
      <w:pPr>
        <w:pStyle w:val="a"/>
      </w:pPr>
      <w:r>
        <w:t xml:space="preserve">для предоставления предприятиям более дешевых кредитов; </w:t>
      </w:r>
    </w:p>
    <w:p w:rsidR="00A67ADA" w:rsidRDefault="00A67ADA">
      <w:pPr>
        <w:pStyle w:val="a"/>
      </w:pPr>
      <w:r>
        <w:t xml:space="preserve">для переоформления просроченных кредитов. </w:t>
      </w:r>
    </w:p>
    <w:p w:rsidR="00A67ADA" w:rsidRDefault="00A67ADA">
      <w:r>
        <w:t xml:space="preserve">При выпуске собственных векселей банк руководствуется: </w:t>
      </w:r>
    </w:p>
    <w:p w:rsidR="00A67ADA" w:rsidRDefault="00A67ADA">
      <w:pPr>
        <w:pStyle w:val="a"/>
      </w:pPr>
      <w:r>
        <w:t xml:space="preserve">"Женевской конвенцией"; </w:t>
      </w:r>
    </w:p>
    <w:p w:rsidR="00A67ADA" w:rsidRDefault="00A67ADA">
      <w:pPr>
        <w:pStyle w:val="a"/>
      </w:pPr>
      <w:r>
        <w:t xml:space="preserve">"Единообразным законом о простом и переводном векселе"; </w:t>
      </w:r>
    </w:p>
    <w:p w:rsidR="00A67ADA" w:rsidRDefault="00A67ADA">
      <w:pPr>
        <w:pStyle w:val="a"/>
      </w:pPr>
      <w:r>
        <w:t xml:space="preserve">общими нормами гражданского законодательства Российской Федерации; </w:t>
      </w:r>
    </w:p>
    <w:p w:rsidR="00A67ADA" w:rsidRDefault="00A67ADA">
      <w:pPr>
        <w:pStyle w:val="a"/>
      </w:pPr>
      <w:r>
        <w:t xml:space="preserve">иными законами и нормативными актами Российской Федерации и самого банка. </w:t>
      </w:r>
    </w:p>
    <w:p w:rsidR="00A67ADA" w:rsidRDefault="00A67ADA">
      <w:r>
        <w:t xml:space="preserve">Вексель АКБ "Тамбовкредитпромбанк" (ОАО) выполнен на специальном бланке, выдается в единственном экземпляре, обеспечивается всеми пассивами банка и должен иметь срок платежа не более 12 месяцев с момента возникновения обязательств банка. АКБ "Тамбовкредитпромбанк" (ОАО) выступает в роли эмитента собственных дисконтных, процентных и кредитных векселей. </w:t>
      </w:r>
    </w:p>
    <w:p w:rsidR="00A67ADA" w:rsidRDefault="00A67ADA">
      <w:r>
        <w:t xml:space="preserve">Выбор векселя среди возможного разнообразия финансовых инструментов объясняется наличием значительных преимуществ векселя как формы привлечения свободных средств. К ним можно отнести такие факторы, как: </w:t>
      </w:r>
    </w:p>
    <w:p w:rsidR="00A67ADA" w:rsidRDefault="00A67ADA">
      <w:pPr>
        <w:pStyle w:val="a"/>
      </w:pPr>
      <w:r>
        <w:t xml:space="preserve">простота выпуска векселя в обращение, так как отсутствует необходимость регистрации в Банке России; </w:t>
      </w:r>
    </w:p>
    <w:p w:rsidR="00A67ADA" w:rsidRDefault="00A67ADA">
      <w:pPr>
        <w:pStyle w:val="a"/>
      </w:pPr>
      <w:r>
        <w:t xml:space="preserve">наличие правовой базы функционирования векселей; </w:t>
      </w:r>
    </w:p>
    <w:p w:rsidR="00A67ADA" w:rsidRDefault="00A67ADA">
      <w:pPr>
        <w:pStyle w:val="a"/>
      </w:pPr>
      <w:r>
        <w:t xml:space="preserve">возможность выпуска векселей как сериями с равными номиналом, так и в разовом порядке на произвольную сумму; </w:t>
      </w:r>
    </w:p>
    <w:p w:rsidR="00A67ADA" w:rsidRDefault="00A67ADA">
      <w:pPr>
        <w:pStyle w:val="a"/>
      </w:pPr>
      <w:r>
        <w:t xml:space="preserve">возможность его передачи по индоссаменту физичискими и юридическими лицами; </w:t>
      </w:r>
    </w:p>
    <w:p w:rsidR="00A67ADA" w:rsidRDefault="00A67ADA">
      <w:pPr>
        <w:pStyle w:val="a"/>
      </w:pPr>
      <w:r>
        <w:t xml:space="preserve">право эмитента самостоятельно устанавливать срок погашения векселя; </w:t>
      </w:r>
    </w:p>
    <w:p w:rsidR="00A67ADA" w:rsidRDefault="00A67ADA">
      <w:pPr>
        <w:pStyle w:val="a"/>
      </w:pPr>
      <w:r>
        <w:t xml:space="preserve">высокая ликвидность при достаточно высоком и фиксированном уровне дохода; </w:t>
      </w:r>
    </w:p>
    <w:p w:rsidR="00A67ADA" w:rsidRDefault="00A67ADA">
      <w:pPr>
        <w:pStyle w:val="a"/>
      </w:pPr>
      <w:r>
        <w:t xml:space="preserve">налогообложение дохода по ставке 18%, как дохода для ценной бумаги для банков. </w:t>
      </w:r>
    </w:p>
    <w:p w:rsidR="00A67ADA" w:rsidRDefault="00A67ADA">
      <w:r>
        <w:t xml:space="preserve">Выпуск Уваровским филиалом АКБ "Тамбовкредитпромбанк" (ОАО) так называемых расчетных или кредитных векселей – весьма положительное явление на российском финансовом рынке. </w:t>
      </w:r>
    </w:p>
    <w:p w:rsidR="00A67ADA" w:rsidRDefault="00A67ADA">
      <w:r>
        <w:t xml:space="preserve">Основные преимущества использования такого рода векселей: </w:t>
      </w:r>
    </w:p>
    <w:p w:rsidR="00A67ADA" w:rsidRDefault="00A67ADA">
      <w:pPr>
        <w:pStyle w:val="a"/>
      </w:pPr>
      <w:r>
        <w:t xml:space="preserve">возможность использования предприятиями векселей в качестве расчетного средства, тем самым, увеличивая оборотные средства предприятия; </w:t>
      </w:r>
    </w:p>
    <w:p w:rsidR="00A67ADA" w:rsidRDefault="00A67ADA">
      <w:pPr>
        <w:pStyle w:val="a"/>
      </w:pPr>
      <w:r>
        <w:t xml:space="preserve">уменьшение срока платежа по сравнению с безналичными расчетами; </w:t>
      </w:r>
    </w:p>
    <w:p w:rsidR="00A67ADA" w:rsidRDefault="00A67ADA">
      <w:pPr>
        <w:pStyle w:val="a"/>
      </w:pPr>
      <w:r>
        <w:t xml:space="preserve">упрощение процедуры расчетов с контрагентами; </w:t>
      </w:r>
    </w:p>
    <w:p w:rsidR="00A67ADA" w:rsidRDefault="00A67ADA">
      <w:pPr>
        <w:pStyle w:val="a"/>
      </w:pPr>
      <w:r>
        <w:t xml:space="preserve">облегчение проблемы неплатежей. </w:t>
      </w:r>
    </w:p>
    <w:p w:rsidR="00A67ADA" w:rsidRDefault="00A67ADA">
      <w:r>
        <w:t xml:space="preserve">Однако массовый, ничем не обеспеченный выпуск в оборот кредитных векселей модно идентифицировать с выпуском коммерческими банками собственных денег, что позволяет сформулировать их недостатки: </w:t>
      </w:r>
    </w:p>
    <w:p w:rsidR="00A67ADA" w:rsidRDefault="00A67ADA">
      <w:pPr>
        <w:pStyle w:val="a"/>
      </w:pPr>
      <w:r>
        <w:t xml:space="preserve">являются бездоходными для их держателей; </w:t>
      </w:r>
    </w:p>
    <w:p w:rsidR="00A67ADA" w:rsidRDefault="00A67ADA">
      <w:pPr>
        <w:pStyle w:val="a"/>
      </w:pPr>
      <w:r>
        <w:t xml:space="preserve">приводят к росту денежной массы в обращении; </w:t>
      </w:r>
    </w:p>
    <w:p w:rsidR="00A67ADA" w:rsidRDefault="00A67ADA">
      <w:pPr>
        <w:pStyle w:val="a"/>
      </w:pPr>
      <w:r>
        <w:t xml:space="preserve">способствует ускорению темпов инфляции. </w:t>
      </w:r>
    </w:p>
    <w:p w:rsidR="00A67ADA" w:rsidRDefault="00A67ADA">
      <w:r>
        <w:t xml:space="preserve">АКБ "Тамбовкредитпромбанк" (ОАО) выдает такого рода кредиты в том случае, если предприятие нуждается в оборотных средствах, но из-за высокой стоимости обычного банковского кредита не может его приобрести. Как правило, в роли таких заемщиков выступают постоянные клиенты банка, и банк требует предоставить залог или гарантии. </w:t>
      </w:r>
    </w:p>
    <w:p w:rsidR="00A67ADA" w:rsidRDefault="00A67ADA">
      <w:r>
        <w:t xml:space="preserve">В целом, такая операция выгодна банку: </w:t>
      </w:r>
    </w:p>
    <w:p w:rsidR="00A67ADA" w:rsidRDefault="00A67ADA">
      <w:pPr>
        <w:pStyle w:val="a"/>
      </w:pPr>
      <w:r>
        <w:t xml:space="preserve">выдавая вексельный кредит, банк затрачивает средства только на отчисление в фонд обязательных резервов в ЦБ, которые возвращаются при пересчете суммы резерва; </w:t>
      </w:r>
    </w:p>
    <w:p w:rsidR="00A67ADA" w:rsidRDefault="00A67ADA">
      <w:pPr>
        <w:pStyle w:val="a"/>
      </w:pPr>
      <w:r>
        <w:t xml:space="preserve">банк получает реальные деньги; </w:t>
      </w:r>
    </w:p>
    <w:p w:rsidR="00A67ADA" w:rsidRDefault="00A67ADA">
      <w:pPr>
        <w:pStyle w:val="a"/>
      </w:pPr>
      <w:r>
        <w:t xml:space="preserve">доходность данной операции для банка – 200%. </w:t>
      </w:r>
    </w:p>
    <w:p w:rsidR="00A67ADA" w:rsidRDefault="00A67ADA">
      <w:pPr>
        <w:pStyle w:val="a"/>
      </w:pPr>
      <w:r>
        <w:t>обеспечение кредит в виде</w:t>
      </w:r>
    </w:p>
    <w:p w:rsidR="00A67ADA" w:rsidRDefault="00A67ADA">
      <w:r>
        <w:t>Погашение кредита пакета векселей</w:t>
      </w:r>
    </w:p>
    <w:p w:rsidR="00A67ADA" w:rsidRDefault="00A67ADA">
      <w:r>
        <w:t xml:space="preserve">кредита Предприятие – первый </w:t>
      </w:r>
    </w:p>
    <w:p w:rsidR="00A67ADA" w:rsidRDefault="00A67ADA">
      <w:r>
        <w:t>векселедержатель погашение товар вексель в векселей  оплату</w:t>
      </w:r>
      <w:r>
        <w:rPr>
          <w:noProof/>
        </w:rPr>
        <w:t xml:space="preserve"> </w:t>
      </w:r>
    </w:p>
    <w:p w:rsidR="00A67ADA" w:rsidRDefault="00A67ADA">
      <w:r>
        <w:t>Предприятие предъявление товар вексель в векселей  оплату</w:t>
      </w:r>
      <w:r>
        <w:rPr>
          <w:noProof/>
        </w:rPr>
        <w:t xml:space="preserve"> </w:t>
      </w:r>
    </w:p>
    <w:p w:rsidR="00A67ADA" w:rsidRDefault="00A67ADA">
      <w:r>
        <w:t>Предприятие</w:t>
      </w:r>
    </w:p>
    <w:p w:rsidR="00A67ADA" w:rsidRDefault="00A67ADA">
      <w:r>
        <w:t>Рис. 4. Схема выпуска банком кредитных векселей.</w:t>
      </w:r>
    </w:p>
    <w:p w:rsidR="00A67ADA" w:rsidRDefault="00A67ADA">
      <w:r>
        <w:t>Проанализируем изменение объемов выпуска векселей Уваровским филиалом АКБ "Тамбовкредитпромбанк" (ОАО) на рынке первичного размещения за последние четыре года (по кварталам).</w:t>
      </w:r>
    </w:p>
    <w:p w:rsidR="00A67ADA" w:rsidRDefault="00D51441">
      <w:r>
        <w:rPr>
          <w:noProof/>
        </w:rPr>
        <w:pict>
          <v:group id="_x0000_s1046" style="position:absolute;left:0;text-align:left;margin-left:50.35pt;margin-top:357.9pt;width:351pt;height:285.75pt;z-index:251656192;mso-position-vertical-relative:page" coordorigin="3288,3631" coordsize="7020,5715">
            <v:rect id="_x0000_s1047" style="position:absolute;left:3828;top:3631;width:5220;height:720">
              <v:shadow on="t"/>
              <v:textbox inset=".5mm,,.5mm">
                <w:txbxContent>
                  <w:p w:rsidR="00A67ADA" w:rsidRDefault="00A67ADA">
                    <w:pPr>
                      <w:jc w:val="center"/>
                      <w:rPr>
                        <w:sz w:val="10"/>
                        <w:szCs w:val="10"/>
                      </w:rPr>
                    </w:pPr>
                  </w:p>
                  <w:p w:rsidR="00A67ADA" w:rsidRDefault="00A67ADA">
                    <w:pPr>
                      <w:jc w:val="center"/>
                      <w:rPr>
                        <w:b/>
                        <w:bCs/>
                      </w:rPr>
                    </w:pPr>
                    <w:r>
                      <w:rPr>
                        <w:b/>
                        <w:bCs/>
                      </w:rPr>
                      <w:t>АКБ «Тамбовкредитпромбанк» (ОАО)</w:t>
                    </w:r>
                  </w:p>
                </w:txbxContent>
              </v:textbox>
            </v:rect>
            <v:line id="_x0000_s1048" style="position:absolute" from="6528,4486" to="6528,5566" o:allowincell="f">
              <v:stroke endarrow="classic" endarrowlength="long"/>
            </v:line>
            <v:line id="_x0000_s1049" style="position:absolute;flip:x y" from="6168,4486" to="6171,5505" o:allowincell="f">
              <v:stroke endarrow="classic" endarrowlength="long"/>
            </v:line>
            <v:line id="_x0000_s1050" style="position:absolute" from="6528,6459" to="6528,7539" o:allowincell="f">
              <v:stroke endarrow="classic" endarrowlength="long"/>
            </v:line>
            <v:line id="_x0000_s1051" style="position:absolute" from="6528,7088" to="6528,7952">
              <v:stroke endarrow="classic" endarrowlength="long"/>
            </v:line>
            <v:line id="_x0000_s1052" style="position:absolute;flip:x y" from="6168,6459" to="6168,7539" o:allowincell="f">
              <v:stroke endarrow="classic" endarrowlength="long"/>
            </v:line>
            <v:line id="_x0000_s1053" style="position:absolute;flip:y" from="6168,7088" to="6168,7952">
              <v:stroke endarrow="classic" endarrowlength="long"/>
            </v:line>
            <v:line id="_x0000_s1054" style="position:absolute;flip:y" from="9048,4306" to="9588,4306"/>
            <v:line id="_x0000_s1055" style="position:absolute" from="9588,4306" to="9588,7906"/>
            <v:line id="_x0000_s1056" style="position:absolute;flip:x" from="8508,6908" to="9588,6908">
              <v:stroke endarrow="classic" endarrowlength="long"/>
            </v:line>
            <v:line id="_x0000_s1057" style="position:absolute" from="8328,7358" to="10308,7358"/>
            <v:line id="_x0000_s1058" style="position:absolute;flip:y" from="10308,4126" to="10308,9346"/>
            <v:line id="_x0000_s1059" style="position:absolute;flip:x" from="9048,4126" to="10308,4126">
              <v:stroke endarrow="classic" endarrowlength="long"/>
            </v:line>
            <v:line id="_x0000_s1060" style="position:absolute;flip:x" from="3288,6099" to="4440,6099"/>
            <v:line id="_x0000_s1061" style="position:absolute;flip:y" from="3288,4306" to="3288,6106"/>
            <v:line id="_x0000_s1062" style="position:absolute" from="3288,4306" to="3828,4306">
              <v:stroke endarrow="classic" endarrowlength="long"/>
            </v:line>
            <v:rect id="_x0000_s1063" style="position:absolute;left:4548;top:7542;width:3888;height:576">
              <v:shadow on="t"/>
              <v:textbox>
                <w:txbxContent>
                  <w:p w:rsidR="00A67ADA" w:rsidRDefault="00A67ADA">
                    <w:pPr>
                      <w:jc w:val="center"/>
                    </w:pPr>
                    <w:r>
                      <w:rPr>
                        <w:b/>
                        <w:bCs/>
                      </w:rPr>
                      <w:t>Предприятие</w:t>
                    </w:r>
                  </w:p>
                </w:txbxContent>
              </v:textbox>
            </v:rect>
            <v:rect id="_x0000_s1064" style="position:absolute;left:4548;top:7985;width:3888;height:576">
              <v:shadow on="t"/>
              <v:textbox>
                <w:txbxContent>
                  <w:p w:rsidR="00A67ADA" w:rsidRDefault="00A67ADA">
                    <w:pPr>
                      <w:jc w:val="center"/>
                    </w:pPr>
                    <w:r>
                      <w:rPr>
                        <w:b/>
                        <w:bCs/>
                      </w:rPr>
                      <w:t>Предприятие</w:t>
                    </w:r>
                  </w:p>
                </w:txbxContent>
              </v:textbox>
            </v:rect>
            <v:rect id="_x0000_s1065" style="position:absolute;left:4443;top:5518;width:3888;height:947" o:allowincell="f">
              <v:shadow on="t"/>
              <v:textbox>
                <w:txbxContent>
                  <w:p w:rsidR="00A67ADA" w:rsidRDefault="00A67ADA">
                    <w:pPr>
                      <w:jc w:val="center"/>
                    </w:pPr>
                    <w:r>
                      <w:rPr>
                        <w:b/>
                        <w:bCs/>
                      </w:rPr>
                      <w:t>Предприятие – первый векселедержатель</w:t>
                    </w:r>
                  </w:p>
                </w:txbxContent>
              </v:textbox>
            </v:rect>
            <w10:wrap type="topAndBottom" anchory="page"/>
          </v:group>
        </w:pict>
      </w:r>
    </w:p>
    <w:p w:rsidR="00A67ADA" w:rsidRDefault="00A67ADA"/>
    <w:p w:rsidR="00A67ADA" w:rsidRDefault="00A67ADA">
      <w:r>
        <w:br w:type="page"/>
        <w:t>Таблица</w:t>
      </w:r>
      <w:r>
        <w:rPr>
          <w:noProof/>
        </w:rPr>
        <w:t xml:space="preserve"> 1. </w:t>
      </w:r>
      <w:r>
        <w:t xml:space="preserve">Выпуск векселей Уваровским филиалом АКБ "Тамбовкредитпромбанк" (ОАО) в 2003-2007 гг. </w:t>
      </w:r>
    </w:p>
    <w:tbl>
      <w:tblPr>
        <w:tblW w:w="8789" w:type="dxa"/>
        <w:tblInd w:w="134" w:type="dxa"/>
        <w:tblLayout w:type="fixed"/>
        <w:tblCellMar>
          <w:left w:w="40" w:type="dxa"/>
          <w:right w:w="40" w:type="dxa"/>
        </w:tblCellMar>
        <w:tblLook w:val="0000" w:firstRow="0" w:lastRow="0" w:firstColumn="0" w:lastColumn="0" w:noHBand="0" w:noVBand="0"/>
      </w:tblPr>
      <w:tblGrid>
        <w:gridCol w:w="2977"/>
        <w:gridCol w:w="5812"/>
      </w:tblGrid>
      <w:tr w:rsidR="00A67ADA">
        <w:trPr>
          <w:trHeight w:hRule="exact" w:val="340"/>
        </w:trPr>
        <w:tc>
          <w:tcPr>
            <w:tcW w:w="2977" w:type="dxa"/>
            <w:tcBorders>
              <w:top w:val="single" w:sz="6" w:space="0" w:color="auto"/>
              <w:left w:val="single" w:sz="6" w:space="0" w:color="auto"/>
              <w:bottom w:val="single" w:sz="6" w:space="0" w:color="auto"/>
              <w:right w:val="single" w:sz="6" w:space="0" w:color="auto"/>
            </w:tcBorders>
          </w:tcPr>
          <w:p w:rsidR="00A67ADA" w:rsidRDefault="00A67ADA">
            <w:pPr>
              <w:pStyle w:val="afa"/>
            </w:pPr>
            <w:r>
              <w:t>Квартал</w:t>
            </w:r>
          </w:p>
        </w:tc>
        <w:tc>
          <w:tcPr>
            <w:tcW w:w="5812" w:type="dxa"/>
            <w:tcBorders>
              <w:top w:val="single" w:sz="6" w:space="0" w:color="auto"/>
              <w:left w:val="single" w:sz="6" w:space="0" w:color="auto"/>
              <w:bottom w:val="single" w:sz="6" w:space="0" w:color="auto"/>
              <w:right w:val="single" w:sz="6" w:space="0" w:color="auto"/>
            </w:tcBorders>
          </w:tcPr>
          <w:p w:rsidR="00A67ADA" w:rsidRDefault="00A67ADA">
            <w:pPr>
              <w:pStyle w:val="afa"/>
            </w:pPr>
            <w:r>
              <w:t xml:space="preserve">Объем выпущенных векселей (тыс. руб) </w:t>
            </w:r>
          </w:p>
        </w:tc>
      </w:tr>
      <w:tr w:rsidR="00A67ADA">
        <w:trPr>
          <w:trHeight w:hRule="exact" w:val="320"/>
        </w:trPr>
        <w:tc>
          <w:tcPr>
            <w:tcW w:w="2977" w:type="dxa"/>
            <w:tcBorders>
              <w:top w:val="single" w:sz="6" w:space="0" w:color="auto"/>
              <w:left w:val="single" w:sz="6" w:space="0" w:color="auto"/>
              <w:bottom w:val="nil"/>
              <w:right w:val="single" w:sz="6" w:space="0" w:color="auto"/>
            </w:tcBorders>
          </w:tcPr>
          <w:p w:rsidR="00A67ADA" w:rsidRDefault="00A67ADA">
            <w:pPr>
              <w:pStyle w:val="afa"/>
            </w:pPr>
            <w:r>
              <w:t>2003 г.3 квартал</w:t>
            </w:r>
          </w:p>
        </w:tc>
        <w:tc>
          <w:tcPr>
            <w:tcW w:w="5812" w:type="dxa"/>
            <w:tcBorders>
              <w:top w:val="single" w:sz="6" w:space="0" w:color="auto"/>
              <w:left w:val="single" w:sz="6" w:space="0" w:color="auto"/>
              <w:bottom w:val="nil"/>
              <w:right w:val="single" w:sz="6" w:space="0" w:color="auto"/>
            </w:tcBorders>
          </w:tcPr>
          <w:p w:rsidR="00A67ADA" w:rsidRDefault="00A67ADA">
            <w:pPr>
              <w:pStyle w:val="afa"/>
            </w:pPr>
            <w:r>
              <w:rPr>
                <w:noProof/>
              </w:rPr>
              <w:t>370,2</w:t>
            </w:r>
          </w:p>
        </w:tc>
      </w:tr>
      <w:tr w:rsidR="00A67ADA">
        <w:trPr>
          <w:trHeight w:hRule="exact" w:val="300"/>
        </w:trPr>
        <w:tc>
          <w:tcPr>
            <w:tcW w:w="2977" w:type="dxa"/>
            <w:tcBorders>
              <w:top w:val="nil"/>
              <w:left w:val="single" w:sz="6" w:space="0" w:color="auto"/>
              <w:bottom w:val="nil"/>
              <w:right w:val="single" w:sz="6" w:space="0" w:color="auto"/>
            </w:tcBorders>
          </w:tcPr>
          <w:p w:rsidR="00A67ADA" w:rsidRDefault="00A67ADA">
            <w:pPr>
              <w:pStyle w:val="afa"/>
            </w:pPr>
            <w:r>
              <w:rPr>
                <w:noProof/>
              </w:rPr>
              <w:t>4</w:t>
            </w:r>
            <w:r>
              <w:t xml:space="preserve"> квартал</w:t>
            </w:r>
          </w:p>
        </w:tc>
        <w:tc>
          <w:tcPr>
            <w:tcW w:w="5812" w:type="dxa"/>
            <w:tcBorders>
              <w:top w:val="nil"/>
              <w:left w:val="single" w:sz="6" w:space="0" w:color="auto"/>
              <w:bottom w:val="nil"/>
              <w:right w:val="single" w:sz="6" w:space="0" w:color="auto"/>
            </w:tcBorders>
          </w:tcPr>
          <w:p w:rsidR="00A67ADA" w:rsidRDefault="00A67ADA">
            <w:pPr>
              <w:pStyle w:val="afa"/>
            </w:pPr>
            <w:r>
              <w:rPr>
                <w:noProof/>
              </w:rPr>
              <w:t>2754,5</w:t>
            </w:r>
          </w:p>
        </w:tc>
      </w:tr>
      <w:tr w:rsidR="00A67ADA">
        <w:trPr>
          <w:trHeight w:hRule="exact" w:val="300"/>
        </w:trPr>
        <w:tc>
          <w:tcPr>
            <w:tcW w:w="2977" w:type="dxa"/>
            <w:tcBorders>
              <w:top w:val="nil"/>
              <w:left w:val="single" w:sz="6" w:space="0" w:color="auto"/>
              <w:bottom w:val="nil"/>
              <w:right w:val="single" w:sz="6" w:space="0" w:color="auto"/>
            </w:tcBorders>
          </w:tcPr>
          <w:p w:rsidR="00A67ADA" w:rsidRDefault="00A67ADA">
            <w:pPr>
              <w:pStyle w:val="afa"/>
            </w:pPr>
            <w:r>
              <w:rPr>
                <w:noProof/>
              </w:rPr>
              <w:t>2004</w:t>
            </w:r>
            <w:r>
              <w:t xml:space="preserve"> г.1 квартал</w:t>
            </w:r>
          </w:p>
        </w:tc>
        <w:tc>
          <w:tcPr>
            <w:tcW w:w="5812" w:type="dxa"/>
            <w:tcBorders>
              <w:top w:val="nil"/>
              <w:left w:val="single" w:sz="6" w:space="0" w:color="auto"/>
              <w:bottom w:val="nil"/>
              <w:right w:val="single" w:sz="6" w:space="0" w:color="auto"/>
            </w:tcBorders>
          </w:tcPr>
          <w:p w:rsidR="00A67ADA" w:rsidRDefault="00A67ADA">
            <w:pPr>
              <w:pStyle w:val="afa"/>
            </w:pPr>
            <w:r>
              <w:rPr>
                <w:noProof/>
              </w:rPr>
              <w:t>6993,9</w:t>
            </w:r>
          </w:p>
        </w:tc>
      </w:tr>
      <w:tr w:rsidR="00A67ADA">
        <w:trPr>
          <w:trHeight w:hRule="exact" w:val="300"/>
        </w:trPr>
        <w:tc>
          <w:tcPr>
            <w:tcW w:w="2977" w:type="dxa"/>
            <w:tcBorders>
              <w:top w:val="nil"/>
              <w:left w:val="single" w:sz="6" w:space="0" w:color="auto"/>
              <w:bottom w:val="nil"/>
              <w:right w:val="single" w:sz="6" w:space="0" w:color="auto"/>
            </w:tcBorders>
          </w:tcPr>
          <w:p w:rsidR="00A67ADA" w:rsidRDefault="00A67ADA">
            <w:pPr>
              <w:pStyle w:val="afa"/>
            </w:pPr>
            <w:r>
              <w:rPr>
                <w:noProof/>
              </w:rPr>
              <w:t>2</w:t>
            </w:r>
            <w:r>
              <w:t xml:space="preserve"> квартал</w:t>
            </w:r>
          </w:p>
        </w:tc>
        <w:tc>
          <w:tcPr>
            <w:tcW w:w="5812" w:type="dxa"/>
            <w:tcBorders>
              <w:top w:val="nil"/>
              <w:left w:val="single" w:sz="6" w:space="0" w:color="auto"/>
              <w:bottom w:val="nil"/>
              <w:right w:val="single" w:sz="6" w:space="0" w:color="auto"/>
            </w:tcBorders>
          </w:tcPr>
          <w:p w:rsidR="00A67ADA" w:rsidRDefault="00A67ADA">
            <w:pPr>
              <w:pStyle w:val="afa"/>
            </w:pPr>
            <w:r>
              <w:rPr>
                <w:noProof/>
              </w:rPr>
              <w:t>8171,5</w:t>
            </w:r>
          </w:p>
        </w:tc>
      </w:tr>
      <w:tr w:rsidR="00A67ADA">
        <w:trPr>
          <w:trHeight w:hRule="exact" w:val="300"/>
        </w:trPr>
        <w:tc>
          <w:tcPr>
            <w:tcW w:w="2977" w:type="dxa"/>
            <w:tcBorders>
              <w:top w:val="nil"/>
              <w:left w:val="single" w:sz="6" w:space="0" w:color="auto"/>
              <w:bottom w:val="nil"/>
              <w:right w:val="single" w:sz="6" w:space="0" w:color="auto"/>
            </w:tcBorders>
          </w:tcPr>
          <w:p w:rsidR="00A67ADA" w:rsidRDefault="00A67ADA">
            <w:pPr>
              <w:pStyle w:val="afa"/>
            </w:pPr>
            <w:r>
              <w:rPr>
                <w:noProof/>
              </w:rPr>
              <w:t>3</w:t>
            </w:r>
            <w:r>
              <w:t xml:space="preserve"> квартал</w:t>
            </w:r>
          </w:p>
        </w:tc>
        <w:tc>
          <w:tcPr>
            <w:tcW w:w="5812" w:type="dxa"/>
            <w:tcBorders>
              <w:top w:val="nil"/>
              <w:left w:val="single" w:sz="6" w:space="0" w:color="auto"/>
              <w:bottom w:val="nil"/>
              <w:right w:val="single" w:sz="6" w:space="0" w:color="auto"/>
            </w:tcBorders>
          </w:tcPr>
          <w:p w:rsidR="00A67ADA" w:rsidRDefault="00A67ADA">
            <w:pPr>
              <w:pStyle w:val="afa"/>
            </w:pPr>
            <w:r>
              <w:rPr>
                <w:noProof/>
              </w:rPr>
              <w:t>9623,3</w:t>
            </w:r>
          </w:p>
        </w:tc>
      </w:tr>
      <w:tr w:rsidR="00A67ADA">
        <w:trPr>
          <w:trHeight w:hRule="exact" w:val="300"/>
        </w:trPr>
        <w:tc>
          <w:tcPr>
            <w:tcW w:w="2977" w:type="dxa"/>
            <w:tcBorders>
              <w:top w:val="nil"/>
              <w:left w:val="single" w:sz="6" w:space="0" w:color="auto"/>
              <w:bottom w:val="nil"/>
              <w:right w:val="single" w:sz="6" w:space="0" w:color="auto"/>
            </w:tcBorders>
          </w:tcPr>
          <w:p w:rsidR="00A67ADA" w:rsidRDefault="00A67ADA">
            <w:pPr>
              <w:pStyle w:val="afa"/>
            </w:pPr>
            <w:r>
              <w:rPr>
                <w:noProof/>
              </w:rPr>
              <w:t>4</w:t>
            </w:r>
            <w:r>
              <w:t xml:space="preserve"> квартал</w:t>
            </w:r>
          </w:p>
        </w:tc>
        <w:tc>
          <w:tcPr>
            <w:tcW w:w="5812" w:type="dxa"/>
            <w:tcBorders>
              <w:top w:val="nil"/>
              <w:left w:val="single" w:sz="6" w:space="0" w:color="auto"/>
              <w:bottom w:val="nil"/>
              <w:right w:val="single" w:sz="6" w:space="0" w:color="auto"/>
            </w:tcBorders>
          </w:tcPr>
          <w:p w:rsidR="00A67ADA" w:rsidRDefault="00A67ADA">
            <w:pPr>
              <w:pStyle w:val="afa"/>
            </w:pPr>
            <w:r>
              <w:rPr>
                <w:noProof/>
              </w:rPr>
              <w:t>2644,5</w:t>
            </w:r>
          </w:p>
        </w:tc>
      </w:tr>
      <w:tr w:rsidR="00A67ADA">
        <w:trPr>
          <w:trHeight w:hRule="exact" w:val="3250"/>
        </w:trPr>
        <w:tc>
          <w:tcPr>
            <w:tcW w:w="2977" w:type="dxa"/>
            <w:tcBorders>
              <w:top w:val="nil"/>
              <w:left w:val="single" w:sz="6" w:space="0" w:color="auto"/>
              <w:bottom w:val="single" w:sz="6" w:space="0" w:color="auto"/>
              <w:right w:val="single" w:sz="6" w:space="0" w:color="auto"/>
            </w:tcBorders>
          </w:tcPr>
          <w:p w:rsidR="00A67ADA" w:rsidRDefault="00A67ADA">
            <w:pPr>
              <w:pStyle w:val="afa"/>
            </w:pPr>
            <w:r>
              <w:rPr>
                <w:noProof/>
              </w:rPr>
              <w:t>2005</w:t>
            </w:r>
            <w:r>
              <w:t xml:space="preserve"> г.1 квартал</w:t>
            </w:r>
          </w:p>
          <w:p w:rsidR="00A67ADA" w:rsidRDefault="00A67ADA">
            <w:pPr>
              <w:pStyle w:val="afa"/>
            </w:pPr>
            <w:r>
              <w:t>2 квартал</w:t>
            </w:r>
          </w:p>
          <w:p w:rsidR="00A67ADA" w:rsidRDefault="00A67ADA">
            <w:pPr>
              <w:pStyle w:val="afa"/>
            </w:pPr>
            <w:r>
              <w:t>3 квартал</w:t>
            </w:r>
          </w:p>
          <w:p w:rsidR="00A67ADA" w:rsidRDefault="00A67ADA">
            <w:pPr>
              <w:pStyle w:val="afa"/>
            </w:pPr>
            <w:r>
              <w:t>4 квартал</w:t>
            </w:r>
          </w:p>
          <w:p w:rsidR="00A67ADA" w:rsidRDefault="00A67ADA">
            <w:pPr>
              <w:pStyle w:val="afa"/>
            </w:pPr>
            <w:r>
              <w:t>2006 г.1 квартал</w:t>
            </w:r>
          </w:p>
          <w:p w:rsidR="00A67ADA" w:rsidRDefault="00A67ADA">
            <w:pPr>
              <w:pStyle w:val="afa"/>
            </w:pPr>
            <w:r>
              <w:t>2 квартал</w:t>
            </w:r>
          </w:p>
          <w:p w:rsidR="00A67ADA" w:rsidRDefault="00A67ADA">
            <w:pPr>
              <w:pStyle w:val="afa"/>
            </w:pPr>
            <w:r>
              <w:t>3 квартал</w:t>
            </w:r>
          </w:p>
          <w:p w:rsidR="00A67ADA" w:rsidRDefault="00A67ADA">
            <w:pPr>
              <w:pStyle w:val="afa"/>
            </w:pPr>
            <w:r>
              <w:t>4 квартал</w:t>
            </w:r>
          </w:p>
          <w:p w:rsidR="00A67ADA" w:rsidRDefault="00A67ADA">
            <w:pPr>
              <w:pStyle w:val="afa"/>
            </w:pPr>
            <w:r>
              <w:t>2007 г.1 квартал</w:t>
            </w:r>
          </w:p>
        </w:tc>
        <w:tc>
          <w:tcPr>
            <w:tcW w:w="5812" w:type="dxa"/>
            <w:tcBorders>
              <w:top w:val="nil"/>
              <w:left w:val="single" w:sz="6" w:space="0" w:color="auto"/>
              <w:bottom w:val="single" w:sz="6" w:space="0" w:color="auto"/>
              <w:right w:val="single" w:sz="6" w:space="0" w:color="auto"/>
            </w:tcBorders>
          </w:tcPr>
          <w:p w:rsidR="00A67ADA" w:rsidRDefault="00A67ADA">
            <w:pPr>
              <w:pStyle w:val="afa"/>
              <w:rPr>
                <w:noProof/>
              </w:rPr>
            </w:pPr>
            <w:r>
              <w:rPr>
                <w:noProof/>
              </w:rPr>
              <w:t>3662,8</w:t>
            </w:r>
          </w:p>
          <w:p w:rsidR="00A67ADA" w:rsidRDefault="00A67ADA">
            <w:pPr>
              <w:pStyle w:val="afa"/>
              <w:rPr>
                <w:noProof/>
              </w:rPr>
            </w:pPr>
            <w:r>
              <w:rPr>
                <w:noProof/>
              </w:rPr>
              <w:t>2456,5</w:t>
            </w:r>
          </w:p>
          <w:p w:rsidR="00A67ADA" w:rsidRDefault="00A67ADA">
            <w:pPr>
              <w:pStyle w:val="afa"/>
              <w:rPr>
                <w:noProof/>
              </w:rPr>
            </w:pPr>
            <w:r>
              <w:rPr>
                <w:noProof/>
              </w:rPr>
              <w:t>4852,2</w:t>
            </w:r>
          </w:p>
          <w:p w:rsidR="00A67ADA" w:rsidRDefault="00A67ADA">
            <w:pPr>
              <w:pStyle w:val="afa"/>
              <w:rPr>
                <w:noProof/>
              </w:rPr>
            </w:pPr>
            <w:r>
              <w:rPr>
                <w:noProof/>
              </w:rPr>
              <w:t>4854,2</w:t>
            </w:r>
          </w:p>
          <w:p w:rsidR="00A67ADA" w:rsidRDefault="00A67ADA">
            <w:pPr>
              <w:pStyle w:val="afa"/>
              <w:rPr>
                <w:noProof/>
              </w:rPr>
            </w:pPr>
            <w:r>
              <w:rPr>
                <w:noProof/>
              </w:rPr>
              <w:t>6254,3</w:t>
            </w:r>
          </w:p>
          <w:p w:rsidR="00A67ADA" w:rsidRDefault="00A67ADA">
            <w:pPr>
              <w:pStyle w:val="afa"/>
              <w:rPr>
                <w:noProof/>
              </w:rPr>
            </w:pPr>
            <w:r>
              <w:rPr>
                <w:noProof/>
              </w:rPr>
              <w:t>4524,2</w:t>
            </w:r>
          </w:p>
          <w:p w:rsidR="00A67ADA" w:rsidRDefault="00A67ADA">
            <w:pPr>
              <w:pStyle w:val="afa"/>
              <w:rPr>
                <w:noProof/>
              </w:rPr>
            </w:pPr>
            <w:r>
              <w:rPr>
                <w:noProof/>
              </w:rPr>
              <w:t>5423,2</w:t>
            </w:r>
          </w:p>
          <w:p w:rsidR="00A67ADA" w:rsidRDefault="00A67ADA">
            <w:pPr>
              <w:pStyle w:val="afa"/>
              <w:rPr>
                <w:noProof/>
              </w:rPr>
            </w:pPr>
            <w:r>
              <w:rPr>
                <w:noProof/>
              </w:rPr>
              <w:t>4251,2</w:t>
            </w:r>
          </w:p>
          <w:p w:rsidR="00A67ADA" w:rsidRDefault="00A67ADA">
            <w:pPr>
              <w:pStyle w:val="afa"/>
              <w:rPr>
                <w:noProof/>
              </w:rPr>
            </w:pPr>
            <w:r>
              <w:rPr>
                <w:noProof/>
              </w:rPr>
              <w:t>2353,2</w:t>
            </w:r>
          </w:p>
          <w:p w:rsidR="00A67ADA" w:rsidRDefault="00A67ADA">
            <w:pPr>
              <w:pStyle w:val="afa"/>
            </w:pPr>
          </w:p>
        </w:tc>
      </w:tr>
    </w:tbl>
    <w:p w:rsidR="00A67ADA" w:rsidRDefault="00A67ADA"/>
    <w:p w:rsidR="00A67ADA" w:rsidRDefault="00D5144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0;text-align:left;margin-left:7.65pt;margin-top:21.8pt;width:438.1pt;height:207.95pt;z-index:251657216">
            <v:imagedata r:id="rId7" o:title=""/>
            <o:lock v:ext="edit" aspectratio="f"/>
            <w10:wrap type="topAndBottom"/>
          </v:shape>
        </w:pict>
      </w:r>
    </w:p>
    <w:p w:rsidR="00A67ADA" w:rsidRDefault="00A67ADA">
      <w:r>
        <w:t xml:space="preserve">Рис.5. Динамика выпуска векселей АКБ "Тамбовкредитпромбанк" (ОАО) в 2003 – 2007 гг. </w:t>
      </w:r>
    </w:p>
    <w:p w:rsidR="00A67ADA" w:rsidRDefault="00A67ADA"/>
    <w:p w:rsidR="00A67ADA" w:rsidRDefault="00A67ADA">
      <w:r>
        <w:t xml:space="preserve">Результаты анализа показали, что в 2003-2004 гг. банк постоянно наращивал темпы эмиссии своих векселей. А это свидетельствует об успешном их размещении на рынке ценных бумаг и доверии к ним со стороны инвесторов. </w:t>
      </w:r>
    </w:p>
    <w:p w:rsidR="00A67ADA" w:rsidRDefault="00A67ADA">
      <w:r>
        <w:t xml:space="preserve">Если проследить, как осуществлялся выпуск векселей в 2006-2007 гг. (таблица 2), то можно отметить, что эмиссия векселей не отличается стабильностью, а скорее имеет тенденцию к колебанию. Это может быть вызвано рядом причин, но основной является неравномерность потребностей банка в привлеченных ресурсах, а также периодическое изменение числа клиентов, обращающихся в банк с целью приобретения данного финансового инструмента. </w:t>
      </w:r>
    </w:p>
    <w:p w:rsidR="00A67ADA" w:rsidRDefault="00A67ADA">
      <w:r>
        <w:t xml:space="preserve">Таблица 2. Выпуск векселей Уваровским филиалом АКБ "Тамбовкредитпромбанк" (ОАО) в 2006-2007 гг. </w:t>
      </w:r>
    </w:p>
    <w:tbl>
      <w:tblPr>
        <w:tblW w:w="873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3254"/>
        <w:gridCol w:w="3062"/>
      </w:tblGrid>
      <w:tr w:rsidR="00A67ADA">
        <w:trPr>
          <w:cantSplit/>
          <w:trHeight w:val="491"/>
        </w:trPr>
        <w:tc>
          <w:tcPr>
            <w:tcW w:w="2416" w:type="dxa"/>
            <w:vMerge w:val="restart"/>
            <w:tcBorders>
              <w:right w:val="nil"/>
            </w:tcBorders>
          </w:tcPr>
          <w:p w:rsidR="00A67ADA" w:rsidRDefault="00A67ADA">
            <w:pPr>
              <w:pStyle w:val="afa"/>
            </w:pPr>
            <w:r>
              <w:t>Месяц</w:t>
            </w:r>
          </w:p>
        </w:tc>
        <w:tc>
          <w:tcPr>
            <w:tcW w:w="6316" w:type="dxa"/>
            <w:gridSpan w:val="2"/>
            <w:tcBorders>
              <w:bottom w:val="nil"/>
            </w:tcBorders>
          </w:tcPr>
          <w:p w:rsidR="00A67ADA" w:rsidRDefault="00A67ADA">
            <w:pPr>
              <w:pStyle w:val="afa"/>
            </w:pPr>
            <w:r>
              <w:t>Объем выпущенных векселей</w:t>
            </w:r>
          </w:p>
        </w:tc>
      </w:tr>
      <w:tr w:rsidR="00A67ADA">
        <w:trPr>
          <w:cantSplit/>
          <w:trHeight w:val="413"/>
        </w:trPr>
        <w:tc>
          <w:tcPr>
            <w:tcW w:w="2416" w:type="dxa"/>
            <w:vMerge/>
            <w:tcBorders>
              <w:right w:val="nil"/>
            </w:tcBorders>
          </w:tcPr>
          <w:p w:rsidR="00A67ADA" w:rsidRDefault="00A67ADA">
            <w:pPr>
              <w:pStyle w:val="afa"/>
            </w:pPr>
          </w:p>
        </w:tc>
        <w:tc>
          <w:tcPr>
            <w:tcW w:w="3254" w:type="dxa"/>
          </w:tcPr>
          <w:p w:rsidR="00A67ADA" w:rsidRDefault="00A67ADA">
            <w:pPr>
              <w:pStyle w:val="afa"/>
            </w:pPr>
            <w:r>
              <w:t>2006 год</w:t>
            </w:r>
          </w:p>
        </w:tc>
        <w:tc>
          <w:tcPr>
            <w:tcW w:w="3062" w:type="dxa"/>
            <w:tcBorders>
              <w:bottom w:val="nil"/>
            </w:tcBorders>
          </w:tcPr>
          <w:p w:rsidR="00A67ADA" w:rsidRDefault="00A67ADA">
            <w:pPr>
              <w:pStyle w:val="afa"/>
            </w:pPr>
            <w:r>
              <w:t>2007 год</w:t>
            </w:r>
          </w:p>
        </w:tc>
      </w:tr>
      <w:tr w:rsidR="00A67ADA">
        <w:trPr>
          <w:trHeight w:val="3112"/>
        </w:trPr>
        <w:tc>
          <w:tcPr>
            <w:tcW w:w="2416" w:type="dxa"/>
          </w:tcPr>
          <w:p w:rsidR="00A67ADA" w:rsidRDefault="00A67ADA">
            <w:pPr>
              <w:pStyle w:val="afa"/>
            </w:pPr>
            <w:r>
              <w:t>Январь</w:t>
            </w:r>
          </w:p>
          <w:p w:rsidR="00A67ADA" w:rsidRDefault="00A67ADA">
            <w:pPr>
              <w:pStyle w:val="afa"/>
            </w:pPr>
            <w:r>
              <w:t>Февраль</w:t>
            </w:r>
          </w:p>
          <w:p w:rsidR="00A67ADA" w:rsidRDefault="00A67ADA">
            <w:pPr>
              <w:pStyle w:val="afa"/>
            </w:pPr>
            <w:r>
              <w:t>Март</w:t>
            </w:r>
          </w:p>
          <w:p w:rsidR="00A67ADA" w:rsidRDefault="00A67ADA">
            <w:pPr>
              <w:pStyle w:val="afa"/>
            </w:pPr>
            <w:r>
              <w:t>Апрель</w:t>
            </w:r>
          </w:p>
          <w:p w:rsidR="00A67ADA" w:rsidRDefault="00A67ADA">
            <w:pPr>
              <w:pStyle w:val="afa"/>
            </w:pPr>
            <w:r>
              <w:t>Май</w:t>
            </w:r>
          </w:p>
          <w:p w:rsidR="00A67ADA" w:rsidRDefault="00A67ADA">
            <w:pPr>
              <w:pStyle w:val="afa"/>
            </w:pPr>
            <w:r>
              <w:t>Июнь</w:t>
            </w:r>
          </w:p>
          <w:p w:rsidR="00A67ADA" w:rsidRDefault="00A67ADA">
            <w:pPr>
              <w:pStyle w:val="afa"/>
            </w:pPr>
            <w:r>
              <w:t>Июль</w:t>
            </w:r>
          </w:p>
          <w:p w:rsidR="00A67ADA" w:rsidRDefault="00A67ADA">
            <w:pPr>
              <w:pStyle w:val="afa"/>
            </w:pPr>
            <w:r>
              <w:t>Август</w:t>
            </w:r>
          </w:p>
          <w:p w:rsidR="00A67ADA" w:rsidRDefault="00A67ADA">
            <w:pPr>
              <w:pStyle w:val="afa"/>
            </w:pPr>
            <w:r>
              <w:t>Сентябрь</w:t>
            </w:r>
          </w:p>
          <w:p w:rsidR="00A67ADA" w:rsidRDefault="00A67ADA">
            <w:pPr>
              <w:pStyle w:val="afa"/>
            </w:pPr>
            <w:r>
              <w:t>Октябрь</w:t>
            </w:r>
          </w:p>
          <w:p w:rsidR="00A67ADA" w:rsidRDefault="00A67ADA">
            <w:pPr>
              <w:pStyle w:val="afa"/>
            </w:pPr>
            <w:r>
              <w:t>Ноябрь</w:t>
            </w:r>
          </w:p>
          <w:p w:rsidR="00A67ADA" w:rsidRDefault="00A67ADA">
            <w:pPr>
              <w:pStyle w:val="afa"/>
            </w:pPr>
            <w:r>
              <w:t>Декабрь</w:t>
            </w:r>
          </w:p>
        </w:tc>
        <w:tc>
          <w:tcPr>
            <w:tcW w:w="3254" w:type="dxa"/>
          </w:tcPr>
          <w:p w:rsidR="00A67ADA" w:rsidRDefault="00A67ADA">
            <w:pPr>
              <w:pStyle w:val="afa"/>
            </w:pPr>
            <w:r>
              <w:t>2172,3</w:t>
            </w:r>
          </w:p>
          <w:p w:rsidR="00A67ADA" w:rsidRDefault="00A67ADA">
            <w:pPr>
              <w:pStyle w:val="afa"/>
            </w:pPr>
            <w:r>
              <w:t>1651,4</w:t>
            </w:r>
          </w:p>
          <w:p w:rsidR="00A67ADA" w:rsidRDefault="00A67ADA">
            <w:pPr>
              <w:pStyle w:val="afa"/>
            </w:pPr>
            <w:r>
              <w:t>1430,6</w:t>
            </w:r>
          </w:p>
          <w:p w:rsidR="00A67ADA" w:rsidRDefault="00A67ADA">
            <w:pPr>
              <w:pStyle w:val="afa"/>
            </w:pPr>
            <w:r>
              <w:t>1671,2</w:t>
            </w:r>
          </w:p>
          <w:p w:rsidR="00A67ADA" w:rsidRDefault="00A67ADA">
            <w:pPr>
              <w:pStyle w:val="afa"/>
            </w:pPr>
            <w:r>
              <w:t>2011,4</w:t>
            </w:r>
          </w:p>
          <w:p w:rsidR="00A67ADA" w:rsidRDefault="00A67ADA">
            <w:pPr>
              <w:pStyle w:val="afa"/>
            </w:pPr>
            <w:r>
              <w:t>841,4</w:t>
            </w:r>
          </w:p>
          <w:p w:rsidR="00A67ADA" w:rsidRDefault="00A67ADA">
            <w:pPr>
              <w:pStyle w:val="afa"/>
            </w:pPr>
            <w:r>
              <w:t>2162,4</w:t>
            </w:r>
          </w:p>
          <w:p w:rsidR="00A67ADA" w:rsidRDefault="00A67ADA">
            <w:pPr>
              <w:pStyle w:val="afa"/>
            </w:pPr>
            <w:r>
              <w:t>1843,1</w:t>
            </w:r>
          </w:p>
          <w:p w:rsidR="00A67ADA" w:rsidRDefault="00A67ADA">
            <w:pPr>
              <w:pStyle w:val="afa"/>
            </w:pPr>
            <w:r>
              <w:t>1417,7</w:t>
            </w:r>
          </w:p>
          <w:p w:rsidR="00A67ADA" w:rsidRDefault="00A67ADA">
            <w:pPr>
              <w:pStyle w:val="afa"/>
            </w:pPr>
            <w:r>
              <w:t>1652,4</w:t>
            </w:r>
          </w:p>
          <w:p w:rsidR="00A67ADA" w:rsidRDefault="00A67ADA">
            <w:pPr>
              <w:pStyle w:val="afa"/>
            </w:pPr>
            <w:r>
              <w:t>1002,3</w:t>
            </w:r>
          </w:p>
          <w:p w:rsidR="00A67ADA" w:rsidRDefault="00A67ADA">
            <w:pPr>
              <w:pStyle w:val="afa"/>
            </w:pPr>
            <w:r>
              <w:t>1596,5</w:t>
            </w:r>
          </w:p>
        </w:tc>
        <w:tc>
          <w:tcPr>
            <w:tcW w:w="3062" w:type="dxa"/>
          </w:tcPr>
          <w:p w:rsidR="00A67ADA" w:rsidRDefault="00A67ADA">
            <w:pPr>
              <w:pStyle w:val="afa"/>
            </w:pPr>
            <w:r>
              <w:t>645,3</w:t>
            </w:r>
          </w:p>
          <w:p w:rsidR="00A67ADA" w:rsidRDefault="00A67ADA">
            <w:pPr>
              <w:pStyle w:val="afa"/>
            </w:pPr>
            <w:r>
              <w:t>943,7</w:t>
            </w:r>
          </w:p>
          <w:p w:rsidR="00A67ADA" w:rsidRDefault="00A67ADA">
            <w:pPr>
              <w:pStyle w:val="afa"/>
            </w:pPr>
            <w:r>
              <w:t>739,7</w:t>
            </w:r>
          </w:p>
          <w:p w:rsidR="00A67ADA" w:rsidRDefault="00A67ADA">
            <w:pPr>
              <w:pStyle w:val="afa"/>
            </w:pPr>
          </w:p>
          <w:p w:rsidR="00A67ADA" w:rsidRDefault="00A67ADA">
            <w:pPr>
              <w:pStyle w:val="afa"/>
            </w:pPr>
          </w:p>
        </w:tc>
      </w:tr>
    </w:tbl>
    <w:p w:rsidR="00A67ADA" w:rsidRDefault="00D51441">
      <w:r>
        <w:rPr>
          <w:noProof/>
        </w:rPr>
        <w:pict>
          <v:shape id="_x0000_s1071" type="#_x0000_t75" style="position:absolute;left:0;text-align:left;margin-left:26.7pt;margin-top:566.3pt;width:328.5pt;height:146.7pt;z-index:-251658240;mso-position-horizontal-relative:text;mso-position-vertical-relative:page" wrapcoords="12008 1275 4516 1275 4516 2471 10782 2551 17924 3826 6161 4463 2591 4703 2521 5659 2556 6058 3991 6376 1435 6376 1295 6456 1225 15861 1330 16579 3431 17854 3466 18492 4866 19129 6161 19129 6126 19846 6547 20006 8087 20006 15088 20006 15159 19289 21075 19129 21320 19049 21320 3427 10782 2551 16979 2232 17014 1275 12323 1275 12008 1275">
            <v:imagedata r:id="rId8" o:title=""/>
            <w10:wrap type="topAndBottom" anchory="page"/>
          </v:shape>
        </w:pict>
      </w:r>
    </w:p>
    <w:p w:rsidR="00A67ADA" w:rsidRDefault="00A67ADA">
      <w:r>
        <w:t xml:space="preserve">Рис.6. Динамика выпуска векселей АКБ "Тамбовкредитпромбанк" (ОАО) в 2006 – 2007 гг. </w:t>
      </w:r>
    </w:p>
    <w:p w:rsidR="00A67ADA" w:rsidRDefault="00A67ADA">
      <w:r>
        <w:br w:type="page"/>
        <w:t>Основная цель выпуска векселя банком</w:t>
      </w:r>
      <w:r>
        <w:rPr>
          <w:noProof/>
        </w:rPr>
        <w:t xml:space="preserve"> –</w:t>
      </w:r>
      <w:r>
        <w:t xml:space="preserve"> продажа его ссудозаемщику для предоставления в дальнейшем данного векселя в качестве залога по кредиту. Так банк обеспечивает себе гарантию возвратности ссуды. </w:t>
      </w:r>
    </w:p>
    <w:p w:rsidR="00A67ADA" w:rsidRDefault="00A67ADA">
      <w:r>
        <w:t xml:space="preserve">Следовательно, если уменьшается число желающих приобрести кредит в данном банке, то сокращается и количество эмитируемых векселей. Не менее важно, на мой взгляд, выяснить какова основная клиентура банка в сфере приобретения его векселей и проследить динамику ее изменения по мере развития банка. </w:t>
      </w:r>
    </w:p>
    <w:p w:rsidR="001245A3" w:rsidRDefault="001245A3"/>
    <w:p w:rsidR="00A67ADA" w:rsidRDefault="00A67ADA">
      <w:r>
        <w:t xml:space="preserve">Таблица 3. Объем выпуска векселей Уваровским филиалом АКБ "Тамбовкредитпромбанк" (ОАО) в 2004-2006 гг. </w:t>
      </w:r>
    </w:p>
    <w:tbl>
      <w:tblPr>
        <w:tblW w:w="8931" w:type="dxa"/>
        <w:tblInd w:w="-8" w:type="dxa"/>
        <w:tblLayout w:type="fixed"/>
        <w:tblCellMar>
          <w:left w:w="40" w:type="dxa"/>
          <w:right w:w="40" w:type="dxa"/>
        </w:tblCellMar>
        <w:tblLook w:val="0000" w:firstRow="0" w:lastRow="0" w:firstColumn="0" w:lastColumn="0" w:noHBand="0" w:noVBand="0"/>
      </w:tblPr>
      <w:tblGrid>
        <w:gridCol w:w="3544"/>
        <w:gridCol w:w="1276"/>
        <w:gridCol w:w="709"/>
        <w:gridCol w:w="992"/>
        <w:gridCol w:w="709"/>
        <w:gridCol w:w="992"/>
        <w:gridCol w:w="709"/>
      </w:tblGrid>
      <w:tr w:rsidR="00A67ADA">
        <w:trPr>
          <w:cantSplit/>
          <w:trHeight w:hRule="exact" w:val="320"/>
        </w:trPr>
        <w:tc>
          <w:tcPr>
            <w:tcW w:w="3544" w:type="dxa"/>
            <w:vMerge w:val="restart"/>
            <w:tcBorders>
              <w:top w:val="single" w:sz="6" w:space="0" w:color="auto"/>
              <w:left w:val="single" w:sz="6" w:space="0" w:color="auto"/>
              <w:bottom w:val="nil"/>
              <w:right w:val="single" w:sz="6" w:space="0" w:color="auto"/>
            </w:tcBorders>
          </w:tcPr>
          <w:p w:rsidR="00A67ADA" w:rsidRDefault="00A67ADA">
            <w:pPr>
              <w:pStyle w:val="afa"/>
            </w:pPr>
          </w:p>
          <w:p w:rsidR="00A67ADA" w:rsidRDefault="00A67ADA">
            <w:pPr>
              <w:pStyle w:val="afa"/>
            </w:pPr>
          </w:p>
        </w:tc>
        <w:tc>
          <w:tcPr>
            <w:tcW w:w="5387" w:type="dxa"/>
            <w:gridSpan w:val="6"/>
            <w:tcBorders>
              <w:top w:val="single" w:sz="6" w:space="0" w:color="auto"/>
              <w:left w:val="single" w:sz="6" w:space="0" w:color="auto"/>
              <w:bottom w:val="single" w:sz="6" w:space="0" w:color="auto"/>
              <w:right w:val="single" w:sz="6" w:space="0" w:color="auto"/>
            </w:tcBorders>
          </w:tcPr>
          <w:p w:rsidR="00A67ADA" w:rsidRDefault="00A67ADA">
            <w:pPr>
              <w:pStyle w:val="afa"/>
            </w:pPr>
            <w:r>
              <w:t>Объем выпущенных векселей</w:t>
            </w:r>
          </w:p>
        </w:tc>
      </w:tr>
      <w:tr w:rsidR="00A67ADA">
        <w:trPr>
          <w:cantSplit/>
          <w:trHeight w:hRule="exact" w:val="320"/>
        </w:trPr>
        <w:tc>
          <w:tcPr>
            <w:tcW w:w="3544" w:type="dxa"/>
            <w:vMerge/>
            <w:tcBorders>
              <w:top w:val="nil"/>
              <w:left w:val="single" w:sz="6" w:space="0" w:color="auto"/>
              <w:bottom w:val="nil"/>
              <w:right w:val="single" w:sz="6" w:space="0" w:color="auto"/>
            </w:tcBorders>
          </w:tcPr>
          <w:p w:rsidR="00A67ADA" w:rsidRDefault="00A67ADA">
            <w:pPr>
              <w:pStyle w:val="afa"/>
            </w:pPr>
          </w:p>
        </w:tc>
        <w:tc>
          <w:tcPr>
            <w:tcW w:w="1985" w:type="dxa"/>
            <w:gridSpan w:val="2"/>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2004</w:t>
            </w:r>
          </w:p>
        </w:tc>
        <w:tc>
          <w:tcPr>
            <w:tcW w:w="1701" w:type="dxa"/>
            <w:gridSpan w:val="2"/>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2005</w:t>
            </w:r>
          </w:p>
        </w:tc>
        <w:tc>
          <w:tcPr>
            <w:tcW w:w="1701" w:type="dxa"/>
            <w:gridSpan w:val="2"/>
            <w:tcBorders>
              <w:top w:val="single" w:sz="6" w:space="0" w:color="auto"/>
              <w:left w:val="single" w:sz="6" w:space="0" w:color="auto"/>
              <w:bottom w:val="single" w:sz="6" w:space="0" w:color="auto"/>
              <w:right w:val="single" w:sz="6" w:space="0" w:color="auto"/>
            </w:tcBorders>
          </w:tcPr>
          <w:p w:rsidR="00A67ADA" w:rsidRDefault="00A67ADA">
            <w:pPr>
              <w:pStyle w:val="afa"/>
            </w:pPr>
            <w:r>
              <w:t>2006</w:t>
            </w:r>
          </w:p>
        </w:tc>
      </w:tr>
      <w:tr w:rsidR="00A67ADA">
        <w:trPr>
          <w:cantSplit/>
          <w:trHeight w:hRule="exact" w:val="670"/>
        </w:trPr>
        <w:tc>
          <w:tcPr>
            <w:tcW w:w="3544" w:type="dxa"/>
            <w:vMerge/>
            <w:tcBorders>
              <w:top w:val="nil"/>
              <w:left w:val="single" w:sz="6" w:space="0" w:color="auto"/>
              <w:bottom w:val="single" w:sz="6" w:space="0" w:color="auto"/>
              <w:right w:val="single" w:sz="6" w:space="0" w:color="auto"/>
            </w:tcBorders>
          </w:tcPr>
          <w:p w:rsidR="00A67ADA" w:rsidRDefault="00A67ADA">
            <w:pPr>
              <w:pStyle w:val="afa"/>
            </w:pPr>
          </w:p>
        </w:tc>
        <w:tc>
          <w:tcPr>
            <w:tcW w:w="1276" w:type="dxa"/>
            <w:tcBorders>
              <w:top w:val="single" w:sz="6" w:space="0" w:color="auto"/>
              <w:left w:val="single" w:sz="6" w:space="0" w:color="auto"/>
              <w:bottom w:val="single" w:sz="6" w:space="0" w:color="auto"/>
              <w:right w:val="single" w:sz="6" w:space="0" w:color="auto"/>
            </w:tcBorders>
          </w:tcPr>
          <w:p w:rsidR="00A67ADA" w:rsidRDefault="00A67ADA">
            <w:pPr>
              <w:pStyle w:val="afa"/>
            </w:pPr>
            <w:r>
              <w:t xml:space="preserve">Сумма (тыс. руб) </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t xml:space="preserve">Сумма (тыс. р) </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t xml:space="preserve">сумма (тыс. р) </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w:t>
            </w:r>
          </w:p>
        </w:tc>
      </w:tr>
      <w:tr w:rsidR="00A67ADA">
        <w:trPr>
          <w:trHeight w:hRule="exact" w:val="640"/>
        </w:trPr>
        <w:tc>
          <w:tcPr>
            <w:tcW w:w="3544" w:type="dxa"/>
            <w:tcBorders>
              <w:top w:val="single" w:sz="6" w:space="0" w:color="auto"/>
              <w:left w:val="single" w:sz="6" w:space="0" w:color="auto"/>
              <w:bottom w:val="single" w:sz="6" w:space="0" w:color="auto"/>
              <w:right w:val="single" w:sz="6" w:space="0" w:color="auto"/>
            </w:tcBorders>
          </w:tcPr>
          <w:p w:rsidR="00A67ADA" w:rsidRDefault="00A67ADA">
            <w:pPr>
              <w:pStyle w:val="afa"/>
            </w:pPr>
            <w:r>
              <w:t xml:space="preserve">Объем выпущенных собственных векселей, всего, в т. ч. </w:t>
            </w:r>
          </w:p>
        </w:tc>
        <w:tc>
          <w:tcPr>
            <w:tcW w:w="1276"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27433,2</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100</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t>15825,7</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t>100</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t>20452,9</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100</w:t>
            </w:r>
          </w:p>
        </w:tc>
      </w:tr>
      <w:tr w:rsidR="00A67ADA">
        <w:trPr>
          <w:trHeight w:hRule="exact" w:val="640"/>
        </w:trPr>
        <w:tc>
          <w:tcPr>
            <w:tcW w:w="3544" w:type="dxa"/>
            <w:tcBorders>
              <w:top w:val="single" w:sz="6" w:space="0" w:color="auto"/>
              <w:left w:val="single" w:sz="6" w:space="0" w:color="auto"/>
              <w:bottom w:val="single" w:sz="6" w:space="0" w:color="auto"/>
              <w:right w:val="single" w:sz="6" w:space="0" w:color="auto"/>
            </w:tcBorders>
          </w:tcPr>
          <w:p w:rsidR="00A67ADA" w:rsidRDefault="00A67ADA">
            <w:pPr>
              <w:pStyle w:val="afa"/>
            </w:pPr>
            <w:r>
              <w:t>Кредитование</w:t>
            </w:r>
          </w:p>
          <w:p w:rsidR="00A67ADA" w:rsidRDefault="00A67ADA">
            <w:pPr>
              <w:pStyle w:val="afa"/>
            </w:pPr>
            <w:r>
              <w:t xml:space="preserve">промышленности, в т. ч. </w:t>
            </w:r>
          </w:p>
        </w:tc>
        <w:tc>
          <w:tcPr>
            <w:tcW w:w="1276"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17972,6</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65,51</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t>10482,4</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t>66,23</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12548,3</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61,35</w:t>
            </w:r>
          </w:p>
        </w:tc>
      </w:tr>
      <w:tr w:rsidR="00A67ADA">
        <w:trPr>
          <w:trHeight w:hRule="exact" w:val="320"/>
        </w:trPr>
        <w:tc>
          <w:tcPr>
            <w:tcW w:w="3544" w:type="dxa"/>
            <w:tcBorders>
              <w:top w:val="single" w:sz="6" w:space="0" w:color="auto"/>
              <w:left w:val="single" w:sz="6" w:space="0" w:color="auto"/>
              <w:bottom w:val="single" w:sz="6" w:space="0" w:color="auto"/>
              <w:right w:val="single" w:sz="6" w:space="0" w:color="auto"/>
            </w:tcBorders>
          </w:tcPr>
          <w:p w:rsidR="00A67ADA" w:rsidRDefault="00A67ADA">
            <w:pPr>
              <w:pStyle w:val="afa"/>
            </w:pPr>
            <w:r>
              <w:t>Строительство</w:t>
            </w:r>
          </w:p>
        </w:tc>
        <w:tc>
          <w:tcPr>
            <w:tcW w:w="1276"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12694,2</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70,63</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t>-</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t>-</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w:t>
            </w:r>
          </w:p>
        </w:tc>
      </w:tr>
      <w:tr w:rsidR="00A67ADA">
        <w:trPr>
          <w:trHeight w:hRule="exact" w:val="320"/>
        </w:trPr>
        <w:tc>
          <w:tcPr>
            <w:tcW w:w="3544" w:type="dxa"/>
            <w:tcBorders>
              <w:top w:val="single" w:sz="6" w:space="0" w:color="auto"/>
              <w:left w:val="single" w:sz="6" w:space="0" w:color="auto"/>
              <w:bottom w:val="single" w:sz="6" w:space="0" w:color="auto"/>
              <w:right w:val="single" w:sz="6" w:space="0" w:color="auto"/>
            </w:tcBorders>
          </w:tcPr>
          <w:p w:rsidR="00A67ADA" w:rsidRDefault="00A67ADA">
            <w:pPr>
              <w:pStyle w:val="afa"/>
            </w:pPr>
            <w:r>
              <w:t>Промышленность</w:t>
            </w:r>
          </w:p>
        </w:tc>
        <w:tc>
          <w:tcPr>
            <w:tcW w:w="1276"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4278,4</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24,36</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t>12482,4</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t>66,23</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12548,3</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61,35</w:t>
            </w:r>
          </w:p>
        </w:tc>
      </w:tr>
      <w:tr w:rsidR="00A67ADA">
        <w:trPr>
          <w:trHeight w:hRule="exact" w:val="300"/>
        </w:trPr>
        <w:tc>
          <w:tcPr>
            <w:tcW w:w="3544" w:type="dxa"/>
            <w:tcBorders>
              <w:top w:val="single" w:sz="6" w:space="0" w:color="auto"/>
              <w:left w:val="single" w:sz="6" w:space="0" w:color="auto"/>
              <w:bottom w:val="single" w:sz="6" w:space="0" w:color="auto"/>
              <w:right w:val="single" w:sz="6" w:space="0" w:color="auto"/>
            </w:tcBorders>
          </w:tcPr>
          <w:p w:rsidR="00A67ADA" w:rsidRDefault="00A67ADA">
            <w:pPr>
              <w:pStyle w:val="afa"/>
            </w:pPr>
            <w:r>
              <w:t>АПК</w:t>
            </w:r>
          </w:p>
        </w:tc>
        <w:tc>
          <w:tcPr>
            <w:tcW w:w="1276"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900</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5,01</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t>-</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t>-</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w:t>
            </w:r>
          </w:p>
        </w:tc>
      </w:tr>
      <w:tr w:rsidR="00A67ADA">
        <w:trPr>
          <w:trHeight w:hRule="exact" w:val="320"/>
        </w:trPr>
        <w:tc>
          <w:tcPr>
            <w:tcW w:w="3544" w:type="dxa"/>
            <w:tcBorders>
              <w:top w:val="single" w:sz="6" w:space="0" w:color="auto"/>
              <w:left w:val="single" w:sz="6" w:space="0" w:color="auto"/>
              <w:bottom w:val="single" w:sz="6" w:space="0" w:color="auto"/>
              <w:right w:val="single" w:sz="6" w:space="0" w:color="auto"/>
            </w:tcBorders>
          </w:tcPr>
          <w:p w:rsidR="00A67ADA" w:rsidRDefault="00A67ADA">
            <w:pPr>
              <w:pStyle w:val="afa"/>
            </w:pPr>
            <w:r>
              <w:t>Кредитование торговли</w:t>
            </w:r>
          </w:p>
        </w:tc>
        <w:tc>
          <w:tcPr>
            <w:tcW w:w="1276"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43,1</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0,16</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t>954,29</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t>6,03</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132,94</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0,65</w:t>
            </w:r>
          </w:p>
        </w:tc>
      </w:tr>
      <w:tr w:rsidR="00A67ADA">
        <w:trPr>
          <w:trHeight w:hRule="exact" w:val="300"/>
        </w:trPr>
        <w:tc>
          <w:tcPr>
            <w:tcW w:w="3544" w:type="dxa"/>
            <w:tcBorders>
              <w:top w:val="single" w:sz="6" w:space="0" w:color="auto"/>
              <w:left w:val="single" w:sz="6" w:space="0" w:color="auto"/>
              <w:bottom w:val="single" w:sz="6" w:space="0" w:color="auto"/>
              <w:right w:val="single" w:sz="6" w:space="0" w:color="auto"/>
            </w:tcBorders>
          </w:tcPr>
          <w:p w:rsidR="00A67ADA" w:rsidRDefault="00A67ADA">
            <w:pPr>
              <w:pStyle w:val="afa"/>
            </w:pPr>
            <w:r>
              <w:t>Кредитование физ. лиц</w:t>
            </w:r>
          </w:p>
        </w:tc>
        <w:tc>
          <w:tcPr>
            <w:tcW w:w="1276"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134,1</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0,49</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t>2750,05</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t>17,38</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417,23</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2,04</w:t>
            </w:r>
          </w:p>
        </w:tc>
      </w:tr>
      <w:tr w:rsidR="00A67ADA">
        <w:trPr>
          <w:trHeight w:hRule="exact" w:val="678"/>
        </w:trPr>
        <w:tc>
          <w:tcPr>
            <w:tcW w:w="3544" w:type="dxa"/>
            <w:tcBorders>
              <w:top w:val="single" w:sz="6" w:space="0" w:color="auto"/>
              <w:left w:val="single" w:sz="6" w:space="0" w:color="auto"/>
              <w:bottom w:val="single" w:sz="6" w:space="0" w:color="auto"/>
              <w:right w:val="single" w:sz="6" w:space="0" w:color="auto"/>
            </w:tcBorders>
          </w:tcPr>
          <w:p w:rsidR="00A67ADA" w:rsidRDefault="00A67ADA">
            <w:pPr>
              <w:pStyle w:val="afa"/>
            </w:pPr>
            <w:r>
              <w:t>Кредитование прочих</w:t>
            </w:r>
          </w:p>
          <w:p w:rsidR="00A67ADA" w:rsidRDefault="00A67ADA">
            <w:pPr>
              <w:pStyle w:val="afa"/>
            </w:pPr>
            <w:r>
              <w:t>юридических лиц</w:t>
            </w:r>
          </w:p>
        </w:tc>
        <w:tc>
          <w:tcPr>
            <w:tcW w:w="1276"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9283,4</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33,84</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t>3548,15</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t>22,42</w:t>
            </w:r>
          </w:p>
        </w:tc>
        <w:tc>
          <w:tcPr>
            <w:tcW w:w="992"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7354,86</w:t>
            </w:r>
          </w:p>
        </w:tc>
        <w:tc>
          <w:tcPr>
            <w:tcW w:w="709" w:type="dxa"/>
            <w:tcBorders>
              <w:top w:val="single" w:sz="6" w:space="0" w:color="auto"/>
              <w:left w:val="single" w:sz="6" w:space="0" w:color="auto"/>
              <w:bottom w:val="single" w:sz="6" w:space="0" w:color="auto"/>
              <w:right w:val="single" w:sz="6" w:space="0" w:color="auto"/>
            </w:tcBorders>
          </w:tcPr>
          <w:p w:rsidR="00A67ADA" w:rsidRDefault="00A67ADA">
            <w:pPr>
              <w:pStyle w:val="afa"/>
            </w:pPr>
            <w:r>
              <w:rPr>
                <w:noProof/>
              </w:rPr>
              <w:t>35,96</w:t>
            </w:r>
          </w:p>
        </w:tc>
      </w:tr>
    </w:tbl>
    <w:p w:rsidR="00A67ADA" w:rsidRDefault="00A67ADA"/>
    <w:p w:rsidR="00A67ADA" w:rsidRDefault="00A67ADA">
      <w:r>
        <w:t xml:space="preserve">Анализ состава клиентуры Уваровского филиала АКБ "Тамбовкредитпромбанк" (ОАО) позволил сделать следующие выводы: </w:t>
      </w:r>
    </w:p>
    <w:p w:rsidR="00A67ADA" w:rsidRDefault="00A67ADA">
      <w:pPr>
        <w:pStyle w:val="a"/>
      </w:pPr>
      <w:r>
        <w:t xml:space="preserve">по сравнению с составом клиентуры, обслуживающейся в банке в 2004 году, последующие года характеризовались ростом удельного веса промышленных предприятий в общем объеме инвесторов. Иными словами, банк, главным образом, кредитует производство, что способствует становлению и развитию в промышленности в нашей стране. А это большой вклад в российскую экономику; </w:t>
      </w:r>
    </w:p>
    <w:p w:rsidR="00A67ADA" w:rsidRDefault="00A67ADA">
      <w:pPr>
        <w:pStyle w:val="a"/>
      </w:pPr>
      <w:r>
        <w:t xml:space="preserve">широко и эффективно развивающееся в наше время строительство не оставило без внимания и руководство кредитного отдела. Об этом можно судить по тому, как резко возросло количество строительных организаций, обслуживающихся в данном банке. Так, если в 2003 году их удельный вес в общем объеме промышленных предприятий составлял 6,48%, то в следующем – 70,63% от общего объема. </w:t>
      </w:r>
    </w:p>
    <w:p w:rsidR="00A67ADA" w:rsidRDefault="00A67ADA">
      <w:pPr>
        <w:pStyle w:val="a"/>
      </w:pPr>
      <w:r>
        <w:t xml:space="preserve">доля торговли занимает незначительную часть в общем объеме кредитования векселями, но постепенно увеличивается в сравнении с первыми годами работы банка с данным финансовым инструментом; </w:t>
      </w:r>
    </w:p>
    <w:p w:rsidR="00A67ADA" w:rsidRDefault="00A67ADA">
      <w:pPr>
        <w:pStyle w:val="a"/>
      </w:pPr>
      <w:r>
        <w:t xml:space="preserve">физические лица редко пользуются услугами данного банка и, скорее всего их число в ближайшее время не возрастет. </w:t>
      </w:r>
    </w:p>
    <w:p w:rsidR="00A67ADA" w:rsidRDefault="00A67ADA">
      <w:r>
        <w:t>Это объясняется основным целевым направлением эмиссии векселя КБ "Соцкредитбанк"</w:t>
      </w:r>
      <w:r>
        <w:rPr>
          <w:noProof/>
        </w:rPr>
        <w:t xml:space="preserve"> - </w:t>
      </w:r>
      <w:r>
        <w:t>кредитование под залог собственных векселей; инфраструктура</w:t>
      </w:r>
      <w:r>
        <w:rPr>
          <w:noProof/>
        </w:rPr>
        <w:t xml:space="preserve"> –</w:t>
      </w:r>
      <w:r>
        <w:t xml:space="preserve"> значительный сегмент кредитования данного банка. </w:t>
      </w:r>
    </w:p>
    <w:p w:rsidR="00A67ADA" w:rsidRDefault="00A67ADA">
      <w:r>
        <w:t>Таким образом, основная клиентура банка</w:t>
      </w:r>
      <w:r>
        <w:rPr>
          <w:noProof/>
        </w:rPr>
        <w:t xml:space="preserve"> –</w:t>
      </w:r>
      <w:r>
        <w:t xml:space="preserve"> юридические лица, преимущественно из промышленного и социального комплекса, которые пришли в банк в период начинаний банка в области эмиссионной деятельности и до сих пор обращаются с целью приобретения кредитных векселей. </w:t>
      </w:r>
    </w:p>
    <w:p w:rsidR="00A67ADA" w:rsidRDefault="00A67ADA">
      <w:pPr>
        <w:rPr>
          <w:noProof/>
        </w:rPr>
      </w:pPr>
    </w:p>
    <w:p w:rsidR="00A67ADA" w:rsidRDefault="00A67ADA">
      <w:pPr>
        <w:pStyle w:val="3"/>
      </w:pPr>
      <w:bookmarkStart w:id="13" w:name="_Toc218798763"/>
      <w:r>
        <w:t>3.3. Эффективность выпуска банковского векселя</w:t>
      </w:r>
      <w:bookmarkEnd w:id="13"/>
    </w:p>
    <w:p w:rsidR="00A67ADA" w:rsidRDefault="00A67ADA"/>
    <w:p w:rsidR="00A67ADA" w:rsidRDefault="00A67ADA">
      <w:r>
        <w:t xml:space="preserve">Констатация того факта, что на сегодняшний день не существует банка, который бы не занимался внедрением в обращение собственных векселей не вызывает сомнения. Кредитная организация, занимающаяся их эмиссией, пользуется репутацией престижного банка, шагающего в ногу со временем. Но какова экономическая эффективность выпуска векселей, например, по сравнению с традиционными депозитными счетами? </w:t>
      </w:r>
    </w:p>
    <w:p w:rsidR="00A67ADA" w:rsidRDefault="00A67ADA">
      <w:r>
        <w:t xml:space="preserve">Этот вопрос требует детального изучения и точных расчетов. Для того чтобы получить на него ответ, обратимся к конкретным примерам. </w:t>
      </w:r>
    </w:p>
    <w:p w:rsidR="00A67ADA" w:rsidRDefault="00A67ADA">
      <w:r>
        <w:t>Пример</w:t>
      </w:r>
      <w:r>
        <w:rPr>
          <w:noProof/>
        </w:rPr>
        <w:t xml:space="preserve"> 1. </w:t>
      </w:r>
      <w:r>
        <w:t>Предположим, что два клиента обратились в банк, имея в наличии</w:t>
      </w:r>
      <w:r>
        <w:rPr>
          <w:noProof/>
        </w:rPr>
        <w:t xml:space="preserve"> 100000</w:t>
      </w:r>
      <w:r>
        <w:t xml:space="preserve"> рублей каждый и желание получить наибольшую доходность от имеющихся средств. </w:t>
      </w:r>
    </w:p>
    <w:p w:rsidR="00A67ADA" w:rsidRDefault="00A67ADA">
      <w:r>
        <w:t>Один из клиентов поместил свободные средства на депозит со сроком</w:t>
      </w:r>
      <w:r>
        <w:rPr>
          <w:noProof/>
        </w:rPr>
        <w:t xml:space="preserve"> 3 </w:t>
      </w:r>
      <w:r>
        <w:t>месяца под</w:t>
      </w:r>
      <w:r>
        <w:rPr>
          <w:noProof/>
        </w:rPr>
        <w:t xml:space="preserve"> 10%</w:t>
      </w:r>
      <w:r>
        <w:t xml:space="preserve"> годовых. Другой</w:t>
      </w:r>
      <w:r>
        <w:rPr>
          <w:noProof/>
        </w:rPr>
        <w:t xml:space="preserve"> –</w:t>
      </w:r>
      <w:r>
        <w:t xml:space="preserve"> купил вексель с тем же сроком, что и депозит и аналогичной процентной ставкой. Выясним, кто поступил разумнее и по истечении срока получит наибольшую доходность. Через</w:t>
      </w:r>
      <w:r>
        <w:rPr>
          <w:noProof/>
        </w:rPr>
        <w:t xml:space="preserve"> 3</w:t>
      </w:r>
      <w:r>
        <w:t xml:space="preserve"> месяца по указанным выше финансовым инструментам банк начислит проценты: </w:t>
      </w:r>
    </w:p>
    <w:p w:rsidR="00A67ADA" w:rsidRDefault="00A67ADA">
      <w:r>
        <w:rPr>
          <w:noProof/>
        </w:rPr>
        <w:t xml:space="preserve">1) </w:t>
      </w:r>
      <w:r>
        <w:t xml:space="preserve">по депозиту </w:t>
      </w:r>
      <w:r>
        <w:rPr>
          <w:lang w:val="en-US"/>
        </w:rPr>
        <w:t>D</w:t>
      </w:r>
      <w:r>
        <w:t xml:space="preserve"> = (100000 * 10% * 3) / (100 * 12) = 2500 руб. </w:t>
      </w:r>
    </w:p>
    <w:p w:rsidR="00A67ADA" w:rsidRDefault="00A67ADA">
      <w:r>
        <w:t xml:space="preserve">2) по векселю </w:t>
      </w:r>
      <w:r>
        <w:rPr>
          <w:lang w:val="en-US"/>
        </w:rPr>
        <w:t>V</w:t>
      </w:r>
      <w:r>
        <w:t xml:space="preserve"> = (100000 * 10% * 3) / (100 * 12) = 2500 руб. </w:t>
      </w:r>
    </w:p>
    <w:p w:rsidR="00A67ADA" w:rsidRDefault="00A67ADA">
      <w:r>
        <w:t>Как видно не было бы никакой разницы, куда помещать свои средства, но существует льготное налогообложение векселя по ставке</w:t>
      </w:r>
      <w:r>
        <w:rPr>
          <w:noProof/>
        </w:rPr>
        <w:t xml:space="preserve"> 15%</w:t>
      </w:r>
      <w:r>
        <w:t xml:space="preserve"> как по ценной бумаге по сравнению с депозитными вкладами, доходность по которым облагается налогом в размере</w:t>
      </w:r>
      <w:r>
        <w:rPr>
          <w:noProof/>
        </w:rPr>
        <w:t xml:space="preserve"> 20%. </w:t>
      </w:r>
    </w:p>
    <w:p w:rsidR="00A67ADA" w:rsidRDefault="00A67ADA">
      <w:r>
        <w:t xml:space="preserve">Поэтому чистый доход клиентов составит: </w:t>
      </w:r>
    </w:p>
    <w:p w:rsidR="00A67ADA" w:rsidRDefault="00A67ADA">
      <w:r>
        <w:rPr>
          <w:noProof/>
        </w:rPr>
        <w:t xml:space="preserve">1) </w:t>
      </w:r>
      <w:r>
        <w:t xml:space="preserve">по депозиту </w:t>
      </w:r>
      <w:r>
        <w:rPr>
          <w:lang w:val="en-US"/>
        </w:rPr>
        <w:t>D</w:t>
      </w:r>
      <w:r>
        <w:rPr>
          <w:noProof/>
        </w:rPr>
        <w:t xml:space="preserve"> = 2500 – 2500 * 20 / 100 = 2000</w:t>
      </w:r>
      <w:r>
        <w:t xml:space="preserve"> руб. </w:t>
      </w:r>
    </w:p>
    <w:p w:rsidR="00A67ADA" w:rsidRDefault="00A67ADA">
      <w:r>
        <w:rPr>
          <w:noProof/>
        </w:rPr>
        <w:t xml:space="preserve">2) </w:t>
      </w:r>
      <w:r>
        <w:t>по векселю</w:t>
      </w:r>
      <w:r>
        <w:rPr>
          <w:noProof/>
        </w:rPr>
        <w:t xml:space="preserve"> V = 2500 –</w:t>
      </w:r>
      <w:r>
        <w:t xml:space="preserve"> 2500 * 15 / 100 = 2125руб. </w:t>
      </w:r>
    </w:p>
    <w:p w:rsidR="00A67ADA" w:rsidRDefault="00A67ADA">
      <w:r>
        <w:t xml:space="preserve">Таким образом, экономическая эффективность использования векселя клиентами налицо. Об этом свидетельствует более высокая доходность, получаемая при вложении свободных денежных средств в данный финансовый инструмент. </w:t>
      </w:r>
    </w:p>
    <w:p w:rsidR="001245A3" w:rsidRDefault="001245A3"/>
    <w:p w:rsidR="001245A3" w:rsidRDefault="001245A3"/>
    <w:p w:rsidR="001245A3" w:rsidRDefault="001245A3"/>
    <w:p w:rsidR="00A67ADA" w:rsidRDefault="001245A3">
      <w:r>
        <w:br w:type="page"/>
      </w:r>
      <w:r w:rsidR="00D51441">
        <w:rPr>
          <w:noProof/>
        </w:rPr>
        <w:pict>
          <v:shape id="_x0000_s1072" type="#_x0000_t75" style="position:absolute;left:0;text-align:left;margin-left:18.85pt;margin-top:78.6pt;width:373.2pt;height:155.55pt;z-index:251659264;mso-position-vertical-relative:page">
            <v:imagedata r:id="rId9" o:title="" cropright="7226f"/>
            <w10:wrap type="topAndBottom" anchory="page"/>
          </v:shape>
        </w:pict>
      </w:r>
      <w:r w:rsidR="00A67ADA">
        <w:t>Рис.7. Доходность вложений по депозиту и векселю</w:t>
      </w:r>
    </w:p>
    <w:p w:rsidR="001245A3" w:rsidRDefault="001245A3"/>
    <w:p w:rsidR="00A67ADA" w:rsidRDefault="00A67ADA">
      <w:r>
        <w:t xml:space="preserve">Попробуем на примере доказать, что выпуск векселя не менее выгоден для самого банка, чем для инвесторов. </w:t>
      </w:r>
    </w:p>
    <w:p w:rsidR="00A67ADA" w:rsidRDefault="00A67ADA">
      <w:r>
        <w:t>Пример</w:t>
      </w:r>
      <w:r>
        <w:rPr>
          <w:noProof/>
        </w:rPr>
        <w:t xml:space="preserve"> 2. </w:t>
      </w:r>
      <w:r>
        <w:t xml:space="preserve">Два клиента имеют в наличии свободные средства в размере </w:t>
      </w:r>
      <w:r>
        <w:rPr>
          <w:noProof/>
        </w:rPr>
        <w:t>100000</w:t>
      </w:r>
      <w:r>
        <w:t xml:space="preserve"> рублей каждый. Первый клиент поместил деньги на депозит сроком на</w:t>
      </w:r>
      <w:r>
        <w:rPr>
          <w:noProof/>
        </w:rPr>
        <w:t xml:space="preserve"> 3 </w:t>
      </w:r>
      <w:r>
        <w:t>месяца под</w:t>
      </w:r>
      <w:r>
        <w:rPr>
          <w:noProof/>
        </w:rPr>
        <w:t xml:space="preserve"> 10%</w:t>
      </w:r>
      <w:r>
        <w:t xml:space="preserve"> годовых. Второй</w:t>
      </w:r>
      <w:r>
        <w:rPr>
          <w:noProof/>
        </w:rPr>
        <w:t xml:space="preserve"> –</w:t>
      </w:r>
      <w:r>
        <w:t xml:space="preserve"> купил вексель со сроком обращения</w:t>
      </w:r>
      <w:r>
        <w:rPr>
          <w:noProof/>
        </w:rPr>
        <w:t xml:space="preserve"> 3</w:t>
      </w:r>
      <w:r>
        <w:t xml:space="preserve"> месяца и процентной ставкой в размере</w:t>
      </w:r>
      <w:r>
        <w:rPr>
          <w:noProof/>
        </w:rPr>
        <w:t xml:space="preserve"> 8%</w:t>
      </w:r>
      <w:r>
        <w:t xml:space="preserve"> годовых. </w:t>
      </w:r>
    </w:p>
    <w:p w:rsidR="00A67ADA" w:rsidRDefault="00A67ADA">
      <w:r>
        <w:t>Спустя</w:t>
      </w:r>
      <w:r>
        <w:rPr>
          <w:noProof/>
        </w:rPr>
        <w:t xml:space="preserve"> 3</w:t>
      </w:r>
      <w:r>
        <w:t xml:space="preserve"> месяца доходы от вложения средств будут равны: </w:t>
      </w:r>
    </w:p>
    <w:p w:rsidR="00A67ADA" w:rsidRDefault="00A67ADA">
      <w:r>
        <w:rPr>
          <w:noProof/>
        </w:rPr>
        <w:t xml:space="preserve">1) </w:t>
      </w:r>
      <w:r>
        <w:t xml:space="preserve">по депозиту </w:t>
      </w:r>
      <w:r>
        <w:rPr>
          <w:lang w:val="en-US"/>
        </w:rPr>
        <w:t>D</w:t>
      </w:r>
      <w:r>
        <w:t xml:space="preserve"> = (100000 * 10% * 3) / (100 * 12) = 2500 руб. </w:t>
      </w:r>
    </w:p>
    <w:p w:rsidR="00A67ADA" w:rsidRDefault="00A67ADA">
      <w:r>
        <w:t xml:space="preserve">2) по векселю </w:t>
      </w:r>
      <w:r>
        <w:rPr>
          <w:lang w:val="en-US"/>
        </w:rPr>
        <w:t>V</w:t>
      </w:r>
      <w:r>
        <w:t xml:space="preserve"> = (100000 * 9% * 3) / (100 * 12) = 2250 руб. </w:t>
      </w:r>
    </w:p>
    <w:p w:rsidR="00A67ADA" w:rsidRDefault="00A67ADA">
      <w:r>
        <w:t xml:space="preserve">Это размер начисленных банком процентов. Как видно, банк сократил свои процентные расходы на 250 руб. Учитывая преимущества налогообложения дохода по векселю в сравнении с депозитным счетом, не остается в проигрыше и клиент, Это подтверждает приведенный ниже цифровой материал. После уплаты налога, на руки каждый из клиентов получит: </w:t>
      </w:r>
    </w:p>
    <w:p w:rsidR="00A67ADA" w:rsidRDefault="00A67ADA">
      <w:r>
        <w:rPr>
          <w:noProof/>
        </w:rPr>
        <w:t xml:space="preserve">1) </w:t>
      </w:r>
      <w:r>
        <w:t xml:space="preserve">по депозиту </w:t>
      </w:r>
      <w:r>
        <w:rPr>
          <w:lang w:val="en-US"/>
        </w:rPr>
        <w:t>D</w:t>
      </w:r>
      <w:r>
        <w:rPr>
          <w:noProof/>
        </w:rPr>
        <w:t xml:space="preserve"> = 2500 – 2500 * 20 /100 = 2000</w:t>
      </w:r>
      <w:r>
        <w:t xml:space="preserve"> руб. </w:t>
      </w:r>
    </w:p>
    <w:p w:rsidR="00A67ADA" w:rsidRDefault="00A67ADA">
      <w:r>
        <w:rPr>
          <w:noProof/>
        </w:rPr>
        <w:t xml:space="preserve">2) </w:t>
      </w:r>
      <w:r>
        <w:t>по векселю</w:t>
      </w:r>
      <w:r>
        <w:rPr>
          <w:noProof/>
        </w:rPr>
        <w:t xml:space="preserve"> V = 2250 – 2250 * 15 / 100 =</w:t>
      </w:r>
      <w:r>
        <w:t xml:space="preserve"> 2422 руб.50коп. </w:t>
      </w:r>
    </w:p>
    <w:p w:rsidR="00A67ADA" w:rsidRDefault="00D51441">
      <w:r>
        <w:rPr>
          <w:noProof/>
        </w:rPr>
        <w:pict>
          <v:shape id="_x0000_s1073" type="#_x0000_t75" style="position:absolute;left:0;text-align:left;margin-left:-19.35pt;margin-top:155.6pt;width:461.05pt;height:171.6pt;z-index:251660288">
            <v:imagedata r:id="rId10" o:title=""/>
            <w10:wrap type="topAndBottom"/>
          </v:shape>
        </w:pict>
      </w:r>
      <w:r w:rsidR="00A67ADA">
        <w:t xml:space="preserve">Следовательно, даже при снижении процентной ставки по векселю, которое экономит расходы банка, связанные с эмиссией данного финансового инструмента, клиент, осуществивший вложение своих средств в вексель все равно оказывается в более выгодном положении по сравнению с обычными вкладчиками, так как получает более высокий доход. </w:t>
      </w:r>
    </w:p>
    <w:p w:rsidR="001245A3" w:rsidRDefault="001245A3"/>
    <w:p w:rsidR="00A67ADA" w:rsidRDefault="00A67ADA">
      <w:r>
        <w:t>Рис.8. Доходность вложений по депозиту и векселю</w:t>
      </w:r>
    </w:p>
    <w:p w:rsidR="001245A3" w:rsidRDefault="001245A3"/>
    <w:p w:rsidR="00A67ADA" w:rsidRDefault="00A67ADA">
      <w:r>
        <w:t xml:space="preserve">Результаты анализа эффективности внедрения в банках собственных векселей показали: </w:t>
      </w:r>
    </w:p>
    <w:p w:rsidR="00A67ADA" w:rsidRDefault="00A67ADA">
      <w:pPr>
        <w:pStyle w:val="a"/>
      </w:pPr>
      <w:r>
        <w:t xml:space="preserve">Уваровский филиал АКБ "Тамбовкредитпромбанк" (ОАО) выбрал правильную стратегию, используя в качестве основного инструмента привлечения денежных средств в банк вексель, а не традиционные банковские вклады. Это дает возможность сократить собственные процентные расходы; </w:t>
      </w:r>
    </w:p>
    <w:p w:rsidR="00A67ADA" w:rsidRDefault="00A67ADA">
      <w:pPr>
        <w:pStyle w:val="a"/>
      </w:pPr>
      <w:r>
        <w:t xml:space="preserve">покупка векселей АКБ "Тамбовкредитпромбанк" (ОАО) позволяет инвесторам получать больше доходов, чем размещение средств на депозитных счетах. </w:t>
      </w:r>
    </w:p>
    <w:p w:rsidR="00A67ADA" w:rsidRDefault="00A67ADA">
      <w:pPr>
        <w:pStyle w:val="1"/>
      </w:pPr>
      <w:r>
        <w:br w:type="page"/>
      </w:r>
      <w:bookmarkStart w:id="14" w:name="_Toc218798764"/>
      <w:r>
        <w:t>Заключение</w:t>
      </w:r>
      <w:bookmarkEnd w:id="14"/>
    </w:p>
    <w:p w:rsidR="00A67ADA" w:rsidRDefault="00A67ADA"/>
    <w:p w:rsidR="00A67ADA" w:rsidRDefault="00A67ADA">
      <w:r>
        <w:t xml:space="preserve">В данной работе рассмотрен вопрос о порядке выпуска ценных бумаг. Процесс выпуска является одной из главных проблем регулирования рынка ценных бумаг. </w:t>
      </w:r>
    </w:p>
    <w:p w:rsidR="00A67ADA" w:rsidRDefault="00A67ADA">
      <w:r>
        <w:t xml:space="preserve">В 1-й главе дана общая характеристика ценных бумаг, их классификация и виды, операции с ними на рынке ценных бумаг, а также роль банков на РЦБ и особенности российского рынка ценных бумаг. </w:t>
      </w:r>
    </w:p>
    <w:p w:rsidR="00A67ADA" w:rsidRDefault="00A67ADA">
      <w:r>
        <w:t xml:space="preserve">Основная теоретическая часть посвящена эмиссии банками собственных акций. Вопрос о выпуске банками-эмитентами облигаций рассмотрен с меньшими подробностями в связи со снижением интереса к данному финансовому инструменту по причине инфляционных процессов в российской экономике. </w:t>
      </w:r>
    </w:p>
    <w:p w:rsidR="00A67ADA" w:rsidRDefault="00A67ADA">
      <w:r>
        <w:t xml:space="preserve">Таким образом, жесткая регламентация выпусков акций и облигаций со стороны Правительства и Центрального банка Российской Федерации обеспечивает кредитным организациям почетный статус надежного эмитента и вызовет к ним наибольшее доверие со стороны инвесторов. </w:t>
      </w:r>
    </w:p>
    <w:p w:rsidR="00A67ADA" w:rsidRDefault="00A67ADA">
      <w:r>
        <w:t xml:space="preserve">Однако запрет на одновременный выпуск акций и облигаций заставляет коммерческие банки выпускать иные финансовые инструменты, делая нелегкий выбор среди их многообразия. К последним большинство инвесторов относится с опасением и осторожностью, поскольку процедура их выпуска менее формализирована. Это выгодно банку, но ненадежно для клиентов. Иначе говоря, к банкам, эмитирующим векселя, депозитные и сберегательные сертификаты, производные ценные бумаги предъявляются менее высокие требования (возможность в истории банка наличия убытков, просроченной задолженности и т.д.) и они могут входить в группу рисковых и сомнительных банков. </w:t>
      </w:r>
    </w:p>
    <w:p w:rsidR="00A67ADA" w:rsidRDefault="00A67ADA">
      <w:r>
        <w:t xml:space="preserve">Среди ценных бумаг, процедура выпуска которых не требует регистрации проспекта эмиссии, наибольшей популярностью пользуется вексель. Он имеет ряд преимуществ не только по сравнению с традиционными банковскими вкладами, но и упоминавшимися ранее акциями и облигациями. Эффективность выпуска банками собственных финансовых векселей доказывается на примере векселя КБ "Соцкредитбанк", который используется в качестве основного инструмента привлечения денежных средств. </w:t>
      </w:r>
    </w:p>
    <w:p w:rsidR="00A67ADA" w:rsidRDefault="00A67ADA">
      <w:r>
        <w:t xml:space="preserve">Процесс выпуска ценных бумаг должен быть отрегулирован в первую очередь и наиболее жестко, ибо именно ценные бумаги, а особенно акции, являются одним из главных инструментов, с помощью которых привлекаются крупные денежные средства, так как они выпускаются серийно и массово, и именно с помощью них делаются самые "черные" дела на фондовом рынке. </w:t>
      </w:r>
    </w:p>
    <w:p w:rsidR="00A67ADA" w:rsidRDefault="00A67ADA">
      <w:r>
        <w:t xml:space="preserve">Принципиально эти процедуры отличаются от небанковского сектора тем, что: </w:t>
      </w:r>
    </w:p>
    <w:p w:rsidR="00A67ADA" w:rsidRDefault="00A67ADA">
      <w:r>
        <w:t xml:space="preserve">во-первых, в документах, необходимых для регистрации ценных бумаг, в проспектах эмиссии в банковском секторе требуется максимальная открытость со стороны эмитента, подробная информация о его финансовом положении, его счетах, прибылях и убытках, и другие данные, на основании которых инвестор может принять обоснованное решение о рисках, которые он на себя берет при покупке этих ценных бумаг; </w:t>
      </w:r>
    </w:p>
    <w:p w:rsidR="00A67ADA" w:rsidRDefault="00A67ADA">
      <w:r>
        <w:t xml:space="preserve">во-вторых, сейчас в банковском секторе применяется процедура накопительного счета, на который с момента регистрации проспекта эмиссии поступают все денежные средства от продажи ценных бумаг. Именно эта процедура максимально защищает интересы мелких инвесторов, то есть покупателей акций. Также отражен учет операций, связанных с выпуском и размещением ценных бумаг (особенно обращается внимание на размещение и оплату акций, которые приводят к формированию или изменению размера уставного капитала акционерного банка, что является одним из главных факторов, влияющим на деятельность банка на фондовом рынке). </w:t>
      </w:r>
    </w:p>
    <w:p w:rsidR="00A67ADA" w:rsidRDefault="00A67ADA">
      <w:r>
        <w:t xml:space="preserve">Проанализировав содержание данной работы, можно сделать вывод, что порядок выпуска строится, главным образом, на неукоснительном соблюдении банковского законодательства, норм и положений. </w:t>
      </w:r>
    </w:p>
    <w:p w:rsidR="00A67ADA" w:rsidRDefault="00A67ADA">
      <w:r>
        <w:t xml:space="preserve">В заключение следует отметить, что на эмиссионную политику банка – эмитента влияют многие факторы: это и экономическая ситуация в стране, и проводимая правительством политика в отношении банковской системы и др., поэтому для эмитирования ценных бумаг банк – эмитент должен иметь устойчивое финансовое положение и строго соблюдать действующее банковское законодательство. </w:t>
      </w:r>
    </w:p>
    <w:p w:rsidR="00A67ADA" w:rsidRDefault="00A67ADA">
      <w:pPr>
        <w:pStyle w:val="1"/>
      </w:pPr>
      <w:r>
        <w:br w:type="page"/>
      </w:r>
      <w:bookmarkStart w:id="15" w:name="_Toc218798765"/>
      <w:r>
        <w:t>Список использованной литературы</w:t>
      </w:r>
      <w:bookmarkEnd w:id="15"/>
    </w:p>
    <w:p w:rsidR="00A67ADA" w:rsidRDefault="00A67ADA"/>
    <w:p w:rsidR="00A67ADA" w:rsidRDefault="00A67ADA" w:rsidP="001245A3">
      <w:pPr>
        <w:pStyle w:val="a1"/>
        <w:ind w:firstLine="0"/>
      </w:pPr>
      <w:r>
        <w:t xml:space="preserve">Инструкция ЦБР N 8 “О правилах выпуска, регистрации ценных бумаг кредитными организациями на территории Российской Федерации”; </w:t>
      </w:r>
    </w:p>
    <w:p w:rsidR="00A67ADA" w:rsidRDefault="00A67ADA" w:rsidP="001245A3">
      <w:pPr>
        <w:pStyle w:val="a1"/>
        <w:ind w:firstLine="0"/>
      </w:pPr>
      <w:r>
        <w:t xml:space="preserve">Федеральный закон N 39-ФЗ “О рынке ценных бумаг”; </w:t>
      </w:r>
    </w:p>
    <w:p w:rsidR="00A67ADA" w:rsidRDefault="00A67ADA" w:rsidP="001245A3">
      <w:pPr>
        <w:pStyle w:val="a1"/>
        <w:ind w:firstLine="0"/>
      </w:pPr>
      <w:r>
        <w:t xml:space="preserve">Федеральный закон от 26.12.95 № 208-ФЗ “Об акционерных обществах”; </w:t>
      </w:r>
    </w:p>
    <w:p w:rsidR="00A67ADA" w:rsidRDefault="00A67ADA" w:rsidP="001245A3">
      <w:pPr>
        <w:pStyle w:val="a1"/>
        <w:ind w:firstLine="0"/>
      </w:pPr>
      <w:r>
        <w:t xml:space="preserve">Федеральный закон от 18.10.95 “О налоге на операции с ценными бумагами”; </w:t>
      </w:r>
    </w:p>
    <w:p w:rsidR="00A67ADA" w:rsidRDefault="00A67ADA" w:rsidP="001245A3">
      <w:pPr>
        <w:pStyle w:val="a1"/>
        <w:ind w:firstLine="0"/>
      </w:pPr>
      <w:r>
        <w:t xml:space="preserve">Гражданский кодекс Российской Федерации; </w:t>
      </w:r>
    </w:p>
    <w:p w:rsidR="00A67ADA" w:rsidRDefault="00A67ADA" w:rsidP="001245A3">
      <w:pPr>
        <w:pStyle w:val="a1"/>
        <w:ind w:firstLine="0"/>
      </w:pPr>
      <w:r>
        <w:t xml:space="preserve">Постановление Федеральной комиссии по рынку ценных бумаг от 24 января 1997 года №5 "Об осуществлении кредитными организациями операций с ценными бумагами на рынке ценных бумаг"; </w:t>
      </w:r>
    </w:p>
    <w:p w:rsidR="00A67ADA" w:rsidRDefault="00A67ADA" w:rsidP="001245A3">
      <w:pPr>
        <w:pStyle w:val="a1"/>
        <w:ind w:firstLine="0"/>
      </w:pPr>
      <w:r>
        <w:t xml:space="preserve">Астахов В.П. "Ценные бумаги. Выпуск, обращение, погашение, бухгалтерский учет, налогообложение, отчетность" - М., 1996; </w:t>
      </w:r>
    </w:p>
    <w:p w:rsidR="00A67ADA" w:rsidRDefault="00A67ADA" w:rsidP="001245A3">
      <w:pPr>
        <w:pStyle w:val="a1"/>
        <w:ind w:firstLine="0"/>
      </w:pPr>
      <w:r>
        <w:t xml:space="preserve">Баканов М.И., Шеремет А.Д. Теория экономического анализа: Учебник. Изд.4-е – М.: Финансы и статистика, 2003. – 416 с. </w:t>
      </w:r>
    </w:p>
    <w:p w:rsidR="00A67ADA" w:rsidRDefault="00A67ADA" w:rsidP="001245A3">
      <w:pPr>
        <w:pStyle w:val="a1"/>
        <w:ind w:firstLine="0"/>
      </w:pPr>
      <w:r>
        <w:t xml:space="preserve">Банковское дело (Под ред. Лаврушина О. И) – М. Банковский и биржевой цент, 1999, 404 с. </w:t>
      </w:r>
    </w:p>
    <w:p w:rsidR="00A67ADA" w:rsidRDefault="00A67ADA" w:rsidP="001245A3">
      <w:pPr>
        <w:pStyle w:val="a1"/>
        <w:ind w:firstLine="0"/>
      </w:pPr>
      <w:r>
        <w:t xml:space="preserve">“Банковское дело”, под ред.В.И. Колесникова, 1996; </w:t>
      </w:r>
    </w:p>
    <w:p w:rsidR="00A67ADA" w:rsidRDefault="00A67ADA" w:rsidP="001245A3">
      <w:pPr>
        <w:pStyle w:val="a1"/>
        <w:ind w:firstLine="0"/>
      </w:pPr>
      <w:r>
        <w:t xml:space="preserve">“Банковские операции”, Ч-3, Миркин Я. М.; </w:t>
      </w:r>
    </w:p>
    <w:p w:rsidR="00A67ADA" w:rsidRDefault="00A67ADA" w:rsidP="001245A3">
      <w:pPr>
        <w:pStyle w:val="a1"/>
        <w:ind w:firstLine="0"/>
      </w:pPr>
      <w:r>
        <w:t xml:space="preserve">Басовский Л.Е. Теория экономического анализа – М.: ИНФРА – М, 2001 г. –222 с. </w:t>
      </w:r>
    </w:p>
    <w:p w:rsidR="00A67ADA" w:rsidRDefault="00A67ADA" w:rsidP="001245A3">
      <w:pPr>
        <w:pStyle w:val="a1"/>
        <w:ind w:firstLine="0"/>
      </w:pPr>
      <w:r>
        <w:t xml:space="preserve">Батракова Л.Г. Экономический анализ деятельности коммерческого банка. – М.: Прогресс, 1998. – 423 с. </w:t>
      </w:r>
    </w:p>
    <w:p w:rsidR="00A67ADA" w:rsidRDefault="00A67ADA" w:rsidP="001245A3">
      <w:pPr>
        <w:pStyle w:val="a1"/>
        <w:ind w:firstLine="0"/>
      </w:pPr>
      <w:r>
        <w:t xml:space="preserve">Бочаров В.В. Финансовое моделирование– СПб: Питер, 2000. –208 с. </w:t>
      </w:r>
    </w:p>
    <w:p w:rsidR="00A67ADA" w:rsidRDefault="00A67ADA" w:rsidP="001245A3">
      <w:pPr>
        <w:pStyle w:val="a1"/>
        <w:ind w:firstLine="0"/>
      </w:pPr>
      <w:r>
        <w:t xml:space="preserve">Ефимова Д.В. Финансовый анализ. – М.: Бух. Учет, 1999. </w:t>
      </w:r>
    </w:p>
    <w:p w:rsidR="00A67ADA" w:rsidRDefault="00A67ADA" w:rsidP="001245A3">
      <w:pPr>
        <w:pStyle w:val="a1"/>
        <w:ind w:firstLine="0"/>
      </w:pPr>
      <w:r>
        <w:t xml:space="preserve">Жарковская Е.П., Арендс И.О. Банковское дело: Курс лекций. – М.: Омега-Л, 2004. – 399 с. </w:t>
      </w:r>
    </w:p>
    <w:p w:rsidR="00A67ADA" w:rsidRDefault="00A67ADA" w:rsidP="001245A3">
      <w:pPr>
        <w:pStyle w:val="a1"/>
        <w:ind w:firstLine="0"/>
      </w:pPr>
      <w:r>
        <w:t xml:space="preserve">Жуков Е.Ф. Банки и банковские операции: учебник / под ред– М: ЮНИТИ. Банки и биржи, 1997. – 388 с. </w:t>
      </w:r>
    </w:p>
    <w:p w:rsidR="00A67ADA" w:rsidRDefault="00A67ADA" w:rsidP="001245A3">
      <w:pPr>
        <w:pStyle w:val="a1"/>
        <w:ind w:firstLine="0"/>
      </w:pPr>
      <w:r>
        <w:t xml:space="preserve">Захаров В.С. Коммерческие банки: проблемы и пути развития // Деньги и кредит. – 1998. - №9. С.35-49. </w:t>
      </w:r>
    </w:p>
    <w:p w:rsidR="00A67ADA" w:rsidRDefault="00A67ADA" w:rsidP="001245A3">
      <w:pPr>
        <w:pStyle w:val="a1"/>
        <w:ind w:firstLine="0"/>
      </w:pPr>
      <w:r>
        <w:t xml:space="preserve">Коган М. Коммерческие банки и предприятия – М, Центр деловой информации газеты "Экономика и жизнь", 1999 г,105 с. </w:t>
      </w:r>
    </w:p>
    <w:p w:rsidR="00A67ADA" w:rsidRDefault="00A67ADA" w:rsidP="001245A3">
      <w:pPr>
        <w:pStyle w:val="a1"/>
        <w:ind w:firstLine="0"/>
      </w:pPr>
      <w:r>
        <w:t xml:space="preserve">Лаврушин О.И. Банковское дело. – М.: Прогресс, 1998. – 520 с. </w:t>
      </w:r>
    </w:p>
    <w:p w:rsidR="00A67ADA" w:rsidRDefault="00A67ADA" w:rsidP="001245A3">
      <w:pPr>
        <w:pStyle w:val="a1"/>
        <w:ind w:firstLine="0"/>
      </w:pPr>
      <w:r>
        <w:t xml:space="preserve">Миркин Я.М. "Ценные бумаги и фондовый рынок" - М.: Перспектива, 1995; </w:t>
      </w:r>
    </w:p>
    <w:p w:rsidR="00A67ADA" w:rsidRDefault="00A67ADA" w:rsidP="001245A3">
      <w:pPr>
        <w:pStyle w:val="a1"/>
        <w:ind w:firstLine="0"/>
      </w:pPr>
      <w:r>
        <w:t xml:space="preserve">Рубель К. Финансовый менеджмент. - Санкт-Пб, 1998–312 с. </w:t>
      </w:r>
    </w:p>
    <w:p w:rsidR="00A67ADA" w:rsidRDefault="00A67ADA" w:rsidP="001245A3">
      <w:pPr>
        <w:pStyle w:val="a1"/>
        <w:ind w:firstLine="0"/>
      </w:pPr>
      <w:r>
        <w:t xml:space="preserve">Рынок ценных бумаг. М.: Финансы и статистика, 1996; </w:t>
      </w:r>
    </w:p>
    <w:p w:rsidR="00A67ADA" w:rsidRDefault="00A67ADA" w:rsidP="001245A3">
      <w:pPr>
        <w:pStyle w:val="a1"/>
        <w:ind w:firstLine="0"/>
      </w:pPr>
      <w:r>
        <w:t xml:space="preserve">Сагитдинов М. Ш,, Калимулина Ф.Ф. К вопросу об анализе деятельности коммерческого банка // Банковское дело. – 1997. - №10. С.15-24. </w:t>
      </w:r>
    </w:p>
    <w:p w:rsidR="00A67ADA" w:rsidRDefault="00A67ADA" w:rsidP="001245A3">
      <w:pPr>
        <w:pStyle w:val="a1"/>
        <w:ind w:firstLine="0"/>
      </w:pPr>
      <w:r>
        <w:t xml:space="preserve">Синки мл Д.Ф. Управление финансами в коммерческом банке: пер. с англ. – М: Саталлахи, 1997. – 285 с. </w:t>
      </w:r>
    </w:p>
    <w:p w:rsidR="00A67ADA" w:rsidRDefault="00A67ADA" w:rsidP="001245A3">
      <w:pPr>
        <w:pStyle w:val="a1"/>
        <w:ind w:firstLine="0"/>
      </w:pPr>
      <w:r>
        <w:t xml:space="preserve">Справочная система “Гарант 4.0”. </w:t>
      </w:r>
    </w:p>
    <w:p w:rsidR="00A67ADA" w:rsidRDefault="00A67ADA" w:rsidP="001245A3">
      <w:pPr>
        <w:pStyle w:val="a1"/>
        <w:ind w:firstLine="0"/>
      </w:pPr>
      <w:r>
        <w:t xml:space="preserve">Справочник финансиста (под редакцией проф. Э.А. Уткина – М.: Тандем, Экмос, 1998. </w:t>
      </w:r>
    </w:p>
    <w:p w:rsidR="00A67ADA" w:rsidRDefault="00A67ADA" w:rsidP="001245A3">
      <w:pPr>
        <w:pStyle w:val="a1"/>
        <w:ind w:firstLine="0"/>
      </w:pPr>
      <w:r>
        <w:t xml:space="preserve">Фатхутдинов Р.А. Конкурентоспособность: экономика, стратегия, управление. – М. ИНФРА–М. –2000. –312с. </w:t>
      </w:r>
    </w:p>
    <w:p w:rsidR="00A67ADA" w:rsidRDefault="00A67ADA" w:rsidP="001245A3">
      <w:pPr>
        <w:pStyle w:val="a1"/>
        <w:ind w:firstLine="0"/>
      </w:pPr>
      <w:r>
        <w:t xml:space="preserve">Шеремет А.Д., Сайфулин Р.С., Негашев Е.В. Методика финансового анализа: Учебное пособие. изд.3-е – М.: Инфра М, 2003. –208 с. . </w:t>
      </w:r>
    </w:p>
    <w:p w:rsidR="00A67ADA" w:rsidRDefault="00A67ADA" w:rsidP="001245A3">
      <w:pPr>
        <w:pStyle w:val="a1"/>
        <w:ind w:firstLine="0"/>
      </w:pPr>
      <w:r>
        <w:t xml:space="preserve">Шеремет А.Д., Щербакова Г.Н. Финансовый анализ в коммерческом банке – М: Финансы и статистика, 2000. – 455 с. </w:t>
      </w:r>
    </w:p>
    <w:p w:rsidR="00A67ADA" w:rsidRDefault="00A67ADA" w:rsidP="001245A3">
      <w:pPr>
        <w:pStyle w:val="a1"/>
        <w:ind w:firstLine="0"/>
      </w:pPr>
      <w:r>
        <w:t xml:space="preserve">Ширинская Е.Б. Операции коммерческих банков: российский и зарубежный опыт. - 2-е изд., перераб. и доп. - М.: Финансы и статистика, 1995. - 160с. </w:t>
      </w:r>
    </w:p>
    <w:p w:rsidR="00A67ADA" w:rsidRDefault="00A67ADA" w:rsidP="001245A3">
      <w:pPr>
        <w:pStyle w:val="a1"/>
        <w:ind w:firstLine="0"/>
      </w:pPr>
      <w:r>
        <w:t xml:space="preserve">“Учет и операционная техника в банках”; П.А. Парфенов, 1999; </w:t>
      </w:r>
    </w:p>
    <w:p w:rsidR="00A67ADA" w:rsidRDefault="00A67ADA" w:rsidP="001245A3">
      <w:pPr>
        <w:pStyle w:val="a1"/>
        <w:ind w:firstLine="0"/>
      </w:pPr>
      <w:r>
        <w:t xml:space="preserve">“Учет ценных бумаг в коммерческом банке”, Мартынова О.И., 1997; </w:t>
      </w:r>
    </w:p>
    <w:p w:rsidR="00A67ADA" w:rsidRDefault="00A67ADA" w:rsidP="001245A3">
      <w:pPr>
        <w:pStyle w:val="a1"/>
        <w:ind w:firstLine="0"/>
      </w:pPr>
      <w:r>
        <w:t>Экономические анализ: ситуации, тесты, примеры: Учебное пособие (Под ред. Баканова М.И., Шеремета А. Д). –</w:t>
      </w:r>
      <w:r w:rsidR="001245A3">
        <w:t xml:space="preserve"> </w:t>
      </w:r>
      <w:r>
        <w:t>М.: Финансы и статистика, 2003. –</w:t>
      </w:r>
      <w:r w:rsidR="001245A3">
        <w:t xml:space="preserve"> </w:t>
      </w:r>
      <w:r>
        <w:t xml:space="preserve">656с. </w:t>
      </w:r>
    </w:p>
    <w:p w:rsidR="00A67ADA" w:rsidRDefault="00A67ADA">
      <w:bookmarkStart w:id="16" w:name="_GoBack"/>
      <w:bookmarkEnd w:id="16"/>
    </w:p>
    <w:sectPr w:rsidR="00A67ADA">
      <w:headerReference w:type="default" r:id="rId11"/>
      <w:pgSz w:w="11900" w:h="16820"/>
      <w:pgMar w:top="1134" w:right="850" w:bottom="1134" w:left="1701" w:header="283" w:footer="709" w:gutter="0"/>
      <w:pgNumType w:start="1"/>
      <w:cols w:space="6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1EC" w:rsidRDefault="00E761EC">
      <w:r>
        <w:separator/>
      </w:r>
    </w:p>
  </w:endnote>
  <w:endnote w:type="continuationSeparator" w:id="0">
    <w:p w:rsidR="00E761EC" w:rsidRDefault="00E7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1EC" w:rsidRDefault="00E761EC">
      <w:r>
        <w:separator/>
      </w:r>
    </w:p>
  </w:footnote>
  <w:footnote w:type="continuationSeparator" w:id="0">
    <w:p w:rsidR="00E761EC" w:rsidRDefault="00E76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ADA" w:rsidRDefault="00DA2DE3">
    <w:pPr>
      <w:pStyle w:val="af"/>
      <w:framePr w:wrap="auto" w:vAnchor="text" w:hAnchor="margin" w:xAlign="right" w:y="1"/>
      <w:rPr>
        <w:rStyle w:val="ac"/>
      </w:rPr>
    </w:pPr>
    <w:r>
      <w:rPr>
        <w:rStyle w:val="ac"/>
      </w:rPr>
      <w:t>2</w:t>
    </w:r>
  </w:p>
  <w:p w:rsidR="00A67ADA" w:rsidRDefault="00A67ADA">
    <w:pPr>
      <w:pStyle w:val="af"/>
      <w:ind w:right="360"/>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DC48C9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149E342A"/>
    <w:lvl w:ilvl="0">
      <w:start w:val="1"/>
      <w:numFmt w:val="bullet"/>
      <w:lvlText w:val=""/>
      <w:lvlJc w:val="left"/>
      <w:pPr>
        <w:tabs>
          <w:tab w:val="num" w:pos="360"/>
        </w:tabs>
        <w:ind w:left="360" w:hanging="360"/>
      </w:pPr>
      <w:rPr>
        <w:rFonts w:ascii="Symbol" w:hAnsi="Symbol" w:hint="default"/>
      </w:rPr>
    </w:lvl>
  </w:abstractNum>
  <w:abstractNum w:abstractNumId="2">
    <w:nsid w:val="04A84336"/>
    <w:multiLevelType w:val="singleLevel"/>
    <w:tmpl w:val="8BEEC09E"/>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3">
    <w:nsid w:val="701D67DF"/>
    <w:multiLevelType w:val="singleLevel"/>
    <w:tmpl w:val="9E04A374"/>
    <w:lvl w:ilvl="0">
      <w:start w:val="1"/>
      <w:numFmt w:val="bullet"/>
      <w:pStyle w:val="a0"/>
      <w:lvlText w:val=""/>
      <w:lvlJc w:val="left"/>
      <w:pPr>
        <w:tabs>
          <w:tab w:val="num" w:pos="360"/>
        </w:tabs>
        <w:ind w:left="360" w:hanging="360"/>
      </w:pPr>
      <w:rPr>
        <w:rFonts w:ascii="Symbol" w:hAnsi="Symbol" w:cs="Symbol" w:hint="default"/>
      </w:rPr>
    </w:lvl>
  </w:abstractNum>
  <w:abstractNum w:abstractNumId="4">
    <w:nsid w:val="7DD34BEA"/>
    <w:multiLevelType w:val="singleLevel"/>
    <w:tmpl w:val="12140E50"/>
    <w:lvl w:ilvl="0">
      <w:start w:val="1"/>
      <w:numFmt w:val="decimal"/>
      <w:pStyle w:val="a1"/>
      <w:lvlText w:val="%1."/>
      <w:lvlJc w:val="left"/>
      <w:pPr>
        <w:tabs>
          <w:tab w:val="num" w:pos="567"/>
        </w:tabs>
        <w:ind w:firstLine="72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drawingGridHorizontalSpacing w:val="67"/>
  <w:drawingGridVerticalSpacing w:val="9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1C1"/>
    <w:rsid w:val="001245A3"/>
    <w:rsid w:val="00926B3C"/>
    <w:rsid w:val="00A67ADA"/>
    <w:rsid w:val="00D351C1"/>
    <w:rsid w:val="00D51441"/>
    <w:rsid w:val="00DA2DE3"/>
    <w:rsid w:val="00E76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rules v:ext="edit">
        <o:r id="V:Rule1" type="callout" idref="#_x0000_s1028"/>
        <o:r id="V:Rule2" type="callout" idref="#_x0000_s1029"/>
        <o:r id="V:Rule3" type="callout" idref="#_x0000_s1032"/>
        <o:r id="V:Rule4" type="callout" idref="#_x0000_s1033"/>
        <o:r id="V:Rule5" type="callout" idref="#_x0000_s1034"/>
        <o:r id="V:Rule6" type="callout" idref="#_x0000_s1035"/>
        <o:r id="V:Rule7" type="callout" idref="#_x0000_s1036"/>
        <o:r id="V:Rule8" type="callout" idref="#_x0000_s1037"/>
        <o:r id="V:Rule9" type="callout" idref="#_x0000_s1038"/>
        <o:r id="V:Rule10" type="callout" idref="#_x0000_s1039"/>
      </o:rules>
    </o:shapelayout>
  </w:shapeDefaults>
  <w:decimalSymbol w:val=","/>
  <w:listSeparator w:val=";"/>
  <w14:defaultImageDpi w14:val="0"/>
  <w15:chartTrackingRefBased/>
  <w15:docId w15:val="{8F2D6786-C5E1-46F8-8829-B0603D86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line="360" w:lineRule="auto"/>
      <w:ind w:firstLine="720"/>
      <w:jc w:val="both"/>
    </w:pPr>
    <w:rPr>
      <w:sz w:val="28"/>
      <w:szCs w:val="28"/>
    </w:rPr>
  </w:style>
  <w:style w:type="paragraph" w:styleId="1">
    <w:name w:val="heading 1"/>
    <w:basedOn w:val="a2"/>
    <w:next w:val="a2"/>
    <w:link w:val="10"/>
    <w:uiPriority w:val="99"/>
    <w:qFormat/>
    <w:pPr>
      <w:keepNext/>
      <w:ind w:firstLine="0"/>
      <w:jc w:val="center"/>
      <w:outlineLvl w:val="0"/>
    </w:pPr>
    <w:rPr>
      <w:b/>
      <w:bCs/>
      <w:caps/>
      <w:noProof/>
      <w:kern w:val="16"/>
    </w:rPr>
  </w:style>
  <w:style w:type="paragraph" w:styleId="2">
    <w:name w:val="heading 2"/>
    <w:basedOn w:val="a2"/>
    <w:next w:val="a2"/>
    <w:link w:val="20"/>
    <w:uiPriority w:val="99"/>
    <w:qFormat/>
    <w:pPr>
      <w:keepNext/>
      <w:ind w:firstLine="0"/>
      <w:jc w:val="center"/>
      <w:outlineLvl w:val="1"/>
    </w:pPr>
    <w:rPr>
      <w:b/>
      <w:bCs/>
      <w:i/>
      <w:iCs/>
      <w:smallCaps/>
      <w:noProof/>
      <w:kern w:val="16"/>
    </w:rPr>
  </w:style>
  <w:style w:type="paragraph" w:styleId="3">
    <w:name w:val="heading 3"/>
    <w:basedOn w:val="a2"/>
    <w:next w:val="a2"/>
    <w:link w:val="30"/>
    <w:uiPriority w:val="99"/>
    <w:qFormat/>
    <w:pPr>
      <w:keepNext/>
      <w:outlineLvl w:val="2"/>
    </w:pPr>
    <w:rPr>
      <w:b/>
      <w:bCs/>
      <w:noProof/>
    </w:rPr>
  </w:style>
  <w:style w:type="paragraph" w:styleId="4">
    <w:name w:val="heading 4"/>
    <w:basedOn w:val="a2"/>
    <w:next w:val="a2"/>
    <w:link w:val="40"/>
    <w:uiPriority w:val="99"/>
    <w:qFormat/>
    <w:pPr>
      <w:keepNext/>
      <w:ind w:firstLine="0"/>
      <w:jc w:val="center"/>
      <w:outlineLvl w:val="3"/>
    </w:pPr>
    <w:rPr>
      <w:i/>
      <w:iCs/>
      <w:noProof/>
    </w:rPr>
  </w:style>
  <w:style w:type="paragraph" w:styleId="5">
    <w:name w:val="heading 5"/>
    <w:basedOn w:val="a2"/>
    <w:next w:val="a2"/>
    <w:link w:val="50"/>
    <w:uiPriority w:val="99"/>
    <w:qFormat/>
    <w:pPr>
      <w:keepNext/>
      <w:ind w:left="737"/>
      <w:outlineLvl w:val="4"/>
    </w:pPr>
  </w:style>
  <w:style w:type="paragraph" w:styleId="6">
    <w:name w:val="heading 6"/>
    <w:basedOn w:val="a2"/>
    <w:next w:val="a2"/>
    <w:link w:val="60"/>
    <w:uiPriority w:val="99"/>
    <w:qFormat/>
    <w:pPr>
      <w:keepNext/>
      <w:jc w:val="center"/>
      <w:outlineLvl w:val="5"/>
    </w:pPr>
    <w:rPr>
      <w:b/>
      <w:bCs/>
      <w:sz w:val="30"/>
      <w:szCs w:val="30"/>
    </w:rPr>
  </w:style>
  <w:style w:type="paragraph" w:styleId="7">
    <w:name w:val="heading 7"/>
    <w:basedOn w:val="a2"/>
    <w:next w:val="a2"/>
    <w:link w:val="70"/>
    <w:uiPriority w:val="99"/>
    <w:qFormat/>
    <w:pPr>
      <w:keepNext/>
      <w:outlineLvl w:val="6"/>
    </w:pPr>
    <w:rPr>
      <w:sz w:val="24"/>
      <w:szCs w:val="24"/>
    </w:rPr>
  </w:style>
  <w:style w:type="paragraph" w:styleId="8">
    <w:name w:val="heading 8"/>
    <w:basedOn w:val="a2"/>
    <w:next w:val="a2"/>
    <w:link w:val="80"/>
    <w:uiPriority w:val="99"/>
    <w:qFormat/>
    <w:pPr>
      <w:keepNext/>
      <w:outlineLvl w:val="7"/>
    </w:pPr>
    <w:rPr>
      <w:rFonts w:ascii="Arial" w:hAnsi="Arial" w:cs="Arial"/>
      <w:b/>
      <w:bCs/>
      <w:sz w:val="32"/>
      <w:szCs w:val="32"/>
    </w:rPr>
  </w:style>
  <w:style w:type="paragraph" w:styleId="9">
    <w:name w:val="heading 9"/>
    <w:basedOn w:val="a2"/>
    <w:next w:val="a2"/>
    <w:link w:val="90"/>
    <w:uiPriority w:val="99"/>
    <w:qFormat/>
    <w:pPr>
      <w:keepNext/>
      <w:jc w:val="center"/>
      <w:outlineLvl w:val="8"/>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6">
    <w:name w:val="Plain Text"/>
    <w:basedOn w:val="a2"/>
    <w:link w:val="a7"/>
    <w:uiPriority w:val="99"/>
    <w:rPr>
      <w:rFonts w:ascii="Courier New" w:hAnsi="Courier New" w:cs="Courier New"/>
    </w:rPr>
  </w:style>
  <w:style w:type="character" w:customStyle="1" w:styleId="a7">
    <w:name w:val="Текст Знак"/>
    <w:link w:val="a6"/>
    <w:uiPriority w:val="99"/>
    <w:semiHidden/>
    <w:rPr>
      <w:rFonts w:ascii="Courier New" w:hAnsi="Courier New" w:cs="Courier New"/>
      <w:sz w:val="20"/>
      <w:szCs w:val="20"/>
    </w:rPr>
  </w:style>
  <w:style w:type="paragraph" w:styleId="21">
    <w:name w:val="Body Text 2"/>
    <w:basedOn w:val="a2"/>
    <w:link w:val="22"/>
    <w:uiPriority w:val="99"/>
    <w:pPr>
      <w:ind w:firstLine="851"/>
    </w:pPr>
  </w:style>
  <w:style w:type="character" w:customStyle="1" w:styleId="22">
    <w:name w:val="Основний текст 2 Знак"/>
    <w:link w:val="21"/>
    <w:uiPriority w:val="99"/>
    <w:semiHidden/>
    <w:rPr>
      <w:sz w:val="28"/>
      <w:szCs w:val="28"/>
    </w:rPr>
  </w:style>
  <w:style w:type="paragraph" w:styleId="a8">
    <w:name w:val="footnote text"/>
    <w:basedOn w:val="a2"/>
    <w:link w:val="a9"/>
    <w:uiPriority w:val="99"/>
    <w:semiHidden/>
  </w:style>
  <w:style w:type="character" w:customStyle="1" w:styleId="a9">
    <w:name w:val="Текст виноски Знак"/>
    <w:link w:val="a8"/>
    <w:uiPriority w:val="99"/>
    <w:semiHidden/>
    <w:rPr>
      <w:sz w:val="20"/>
      <w:szCs w:val="20"/>
    </w:rPr>
  </w:style>
  <w:style w:type="paragraph" w:styleId="23">
    <w:name w:val="Body Text Indent 2"/>
    <w:basedOn w:val="a2"/>
    <w:link w:val="24"/>
    <w:uiPriority w:val="99"/>
    <w:pPr>
      <w:tabs>
        <w:tab w:val="left" w:pos="10490"/>
      </w:tabs>
      <w:ind w:right="567" w:firstLine="851"/>
    </w:pPr>
    <w:rPr>
      <w:lang w:val="en-US"/>
    </w:rPr>
  </w:style>
  <w:style w:type="character" w:customStyle="1" w:styleId="24">
    <w:name w:val="Основний текст з відступом 2 Знак"/>
    <w:link w:val="23"/>
    <w:uiPriority w:val="99"/>
    <w:semiHidden/>
    <w:rPr>
      <w:sz w:val="28"/>
      <w:szCs w:val="28"/>
    </w:rPr>
  </w:style>
  <w:style w:type="paragraph" w:styleId="aa">
    <w:name w:val="footer"/>
    <w:basedOn w:val="a2"/>
    <w:link w:val="ab"/>
    <w:uiPriority w:val="99"/>
    <w:pPr>
      <w:tabs>
        <w:tab w:val="center" w:pos="4153"/>
        <w:tab w:val="right" w:pos="8306"/>
      </w:tabs>
    </w:pPr>
  </w:style>
  <w:style w:type="character" w:customStyle="1" w:styleId="ab">
    <w:name w:val="Нижній колонтитул Знак"/>
    <w:link w:val="aa"/>
    <w:uiPriority w:val="99"/>
    <w:semiHidden/>
    <w:rPr>
      <w:sz w:val="28"/>
      <w:szCs w:val="28"/>
    </w:rPr>
  </w:style>
  <w:style w:type="character" w:styleId="ac">
    <w:name w:val="page number"/>
    <w:uiPriority w:val="99"/>
  </w:style>
  <w:style w:type="paragraph" w:styleId="ad">
    <w:name w:val="Body Text"/>
    <w:basedOn w:val="a2"/>
    <w:link w:val="ae"/>
    <w:uiPriority w:val="99"/>
  </w:style>
  <w:style w:type="character" w:customStyle="1" w:styleId="ae">
    <w:name w:val="Основний текст Знак"/>
    <w:link w:val="ad"/>
    <w:uiPriority w:val="99"/>
    <w:semiHidden/>
    <w:rPr>
      <w:sz w:val="28"/>
      <w:szCs w:val="28"/>
    </w:rPr>
  </w:style>
  <w:style w:type="paragraph" w:styleId="af">
    <w:name w:val="header"/>
    <w:basedOn w:val="a2"/>
    <w:next w:val="ad"/>
    <w:link w:val="af0"/>
    <w:uiPriority w:val="99"/>
    <w:pPr>
      <w:tabs>
        <w:tab w:val="center" w:pos="4677"/>
        <w:tab w:val="right" w:pos="9355"/>
      </w:tabs>
      <w:jc w:val="right"/>
    </w:pPr>
    <w:rPr>
      <w:noProof/>
      <w:kern w:val="16"/>
    </w:rPr>
  </w:style>
  <w:style w:type="character" w:customStyle="1" w:styleId="af0">
    <w:name w:val="Верхній колонтитул Знак"/>
    <w:link w:val="af"/>
    <w:uiPriority w:val="99"/>
    <w:rPr>
      <w:kern w:val="16"/>
      <w:sz w:val="24"/>
      <w:szCs w:val="24"/>
    </w:rPr>
  </w:style>
  <w:style w:type="paragraph" w:styleId="31">
    <w:name w:val="Body Text 3"/>
    <w:basedOn w:val="a2"/>
    <w:link w:val="32"/>
    <w:uiPriority w:val="99"/>
    <w:rPr>
      <w:u w:val="single"/>
      <w:lang w:val="en-US"/>
    </w:rPr>
  </w:style>
  <w:style w:type="character" w:customStyle="1" w:styleId="32">
    <w:name w:val="Основний текст 3 Знак"/>
    <w:link w:val="31"/>
    <w:uiPriority w:val="99"/>
    <w:semiHidden/>
    <w:rPr>
      <w:sz w:val="16"/>
      <w:szCs w:val="16"/>
    </w:rPr>
  </w:style>
  <w:style w:type="paragraph" w:styleId="af1">
    <w:name w:val="Document Map"/>
    <w:basedOn w:val="a2"/>
    <w:link w:val="af2"/>
    <w:uiPriority w:val="99"/>
    <w:semiHidden/>
    <w:pPr>
      <w:shd w:val="clear" w:color="auto" w:fill="000080"/>
    </w:pPr>
    <w:rPr>
      <w:rFonts w:ascii="Tahoma" w:hAnsi="Tahoma" w:cs="Tahoma"/>
    </w:rPr>
  </w:style>
  <w:style w:type="character" w:customStyle="1" w:styleId="af2">
    <w:name w:val="Схема документа Знак"/>
    <w:link w:val="af1"/>
    <w:uiPriority w:val="99"/>
    <w:semiHidden/>
    <w:rPr>
      <w:rFonts w:ascii="Tahoma" w:hAnsi="Tahoma" w:cs="Tahoma"/>
      <w:sz w:val="16"/>
      <w:szCs w:val="16"/>
    </w:rPr>
  </w:style>
  <w:style w:type="character" w:styleId="af3">
    <w:name w:val="footnote reference"/>
    <w:uiPriority w:val="99"/>
    <w:semiHidden/>
    <w:rPr>
      <w:sz w:val="28"/>
      <w:szCs w:val="28"/>
      <w:vertAlign w:val="superscript"/>
    </w:rPr>
  </w:style>
  <w:style w:type="paragraph" w:styleId="25">
    <w:name w:val="List Bullet 2"/>
    <w:basedOn w:val="a2"/>
    <w:autoRedefine/>
    <w:uiPriority w:val="99"/>
    <w:pPr>
      <w:ind w:firstLine="709"/>
    </w:pPr>
    <w:rPr>
      <w:lang w:val="en-US"/>
    </w:rPr>
  </w:style>
  <w:style w:type="paragraph" w:styleId="af4">
    <w:name w:val="List Continue"/>
    <w:basedOn w:val="a2"/>
    <w:uiPriority w:val="99"/>
    <w:pPr>
      <w:spacing w:after="120"/>
      <w:ind w:left="283"/>
    </w:pPr>
  </w:style>
  <w:style w:type="paragraph" w:styleId="af5">
    <w:name w:val="List"/>
    <w:basedOn w:val="a2"/>
    <w:uiPriority w:val="99"/>
    <w:pPr>
      <w:ind w:left="283" w:hanging="283"/>
    </w:pPr>
  </w:style>
  <w:style w:type="paragraph" w:styleId="33">
    <w:name w:val="Body Text Indent 3"/>
    <w:basedOn w:val="a2"/>
    <w:link w:val="34"/>
    <w:uiPriority w:val="99"/>
    <w:pPr>
      <w:numPr>
        <w:ilvl w:val="12"/>
      </w:numPr>
      <w:ind w:firstLine="851"/>
    </w:pPr>
    <w:rPr>
      <w:color w:val="000000"/>
    </w:rPr>
  </w:style>
  <w:style w:type="character" w:customStyle="1" w:styleId="34">
    <w:name w:val="Основний текст з відступом 3 Знак"/>
    <w:link w:val="33"/>
    <w:uiPriority w:val="99"/>
    <w:semiHidden/>
    <w:rPr>
      <w:sz w:val="16"/>
      <w:szCs w:val="16"/>
    </w:rPr>
  </w:style>
  <w:style w:type="paragraph" w:styleId="a0">
    <w:name w:val="List Bullet"/>
    <w:basedOn w:val="a2"/>
    <w:autoRedefine/>
    <w:uiPriority w:val="99"/>
    <w:pPr>
      <w:numPr>
        <w:numId w:val="3"/>
      </w:numPr>
    </w:pPr>
  </w:style>
  <w:style w:type="paragraph" w:styleId="af6">
    <w:name w:val="Title"/>
    <w:basedOn w:val="a2"/>
    <w:link w:val="af7"/>
    <w:uiPriority w:val="99"/>
    <w:qFormat/>
    <w:pPr>
      <w:jc w:val="center"/>
    </w:pPr>
    <w:rPr>
      <w:b/>
      <w:bCs/>
      <w:sz w:val="32"/>
      <w:szCs w:val="32"/>
    </w:rPr>
  </w:style>
  <w:style w:type="character" w:customStyle="1" w:styleId="af7">
    <w:name w:val="Назва Знак"/>
    <w:link w:val="af6"/>
    <w:uiPriority w:val="10"/>
    <w:rPr>
      <w:rFonts w:ascii="Cambria" w:eastAsia="Times New Roman" w:hAnsi="Cambria" w:cs="Times New Roman"/>
      <w:b/>
      <w:bCs/>
      <w:kern w:val="28"/>
      <w:sz w:val="32"/>
      <w:szCs w:val="32"/>
    </w:rPr>
  </w:style>
  <w:style w:type="paragraph" w:customStyle="1" w:styleId="11">
    <w:name w:val="заголовок 1"/>
    <w:basedOn w:val="a2"/>
    <w:next w:val="a2"/>
    <w:uiPriority w:val="99"/>
    <w:pPr>
      <w:keepNext/>
      <w:outlineLvl w:val="0"/>
    </w:pPr>
    <w:rPr>
      <w:sz w:val="24"/>
      <w:szCs w:val="24"/>
    </w:rPr>
  </w:style>
  <w:style w:type="paragraph" w:customStyle="1" w:styleId="FR3">
    <w:name w:val="FR3"/>
    <w:uiPriority w:val="99"/>
    <w:pPr>
      <w:widowControl w:val="0"/>
      <w:spacing w:before="40"/>
    </w:pPr>
    <w:rPr>
      <w:rFonts w:ascii="Arial" w:hAnsi="Arial" w:cs="Arial"/>
      <w:sz w:val="12"/>
      <w:szCs w:val="12"/>
    </w:rPr>
  </w:style>
  <w:style w:type="paragraph" w:customStyle="1" w:styleId="FR1">
    <w:name w:val="FR1"/>
    <w:uiPriority w:val="99"/>
    <w:pPr>
      <w:widowControl w:val="0"/>
      <w:spacing w:before="480" w:line="300" w:lineRule="auto"/>
      <w:ind w:left="2280" w:right="2000"/>
      <w:jc w:val="center"/>
    </w:pPr>
    <w:rPr>
      <w:rFonts w:ascii="Arial" w:hAnsi="Arial" w:cs="Arial"/>
      <w:sz w:val="22"/>
      <w:szCs w:val="22"/>
    </w:rPr>
  </w:style>
  <w:style w:type="paragraph" w:customStyle="1" w:styleId="FR2">
    <w:name w:val="FR2"/>
    <w:uiPriority w:val="99"/>
    <w:pPr>
      <w:widowControl w:val="0"/>
      <w:spacing w:before="440" w:line="260" w:lineRule="auto"/>
      <w:ind w:left="120" w:hanging="120"/>
    </w:pPr>
    <w:rPr>
      <w:rFonts w:ascii="Arial" w:hAnsi="Arial" w:cs="Arial"/>
      <w:sz w:val="18"/>
      <w:szCs w:val="18"/>
    </w:rPr>
  </w:style>
  <w:style w:type="paragraph" w:customStyle="1" w:styleId="af8">
    <w:name w:val="выделение"/>
    <w:uiPriority w:val="99"/>
    <w:pPr>
      <w:spacing w:line="360" w:lineRule="auto"/>
      <w:ind w:firstLine="709"/>
      <w:jc w:val="both"/>
    </w:pPr>
    <w:rPr>
      <w:b/>
      <w:bCs/>
      <w:i/>
      <w:iCs/>
      <w:noProof/>
      <w:sz w:val="28"/>
      <w:szCs w:val="28"/>
    </w:rPr>
  </w:style>
  <w:style w:type="paragraph" w:styleId="12">
    <w:name w:val="toc 1"/>
    <w:basedOn w:val="a2"/>
    <w:next w:val="a2"/>
    <w:autoRedefine/>
    <w:uiPriority w:val="99"/>
    <w:semiHidden/>
    <w:pPr>
      <w:jc w:val="left"/>
    </w:pPr>
    <w:rPr>
      <w:b/>
      <w:bCs/>
      <w:caps/>
    </w:rPr>
  </w:style>
  <w:style w:type="paragraph" w:styleId="26">
    <w:name w:val="toc 2"/>
    <w:basedOn w:val="a2"/>
    <w:next w:val="a2"/>
    <w:autoRedefine/>
    <w:uiPriority w:val="99"/>
    <w:semiHidden/>
    <w:pPr>
      <w:ind w:left="998"/>
      <w:jc w:val="left"/>
    </w:pPr>
    <w:rPr>
      <w:smallCaps/>
    </w:rPr>
  </w:style>
  <w:style w:type="paragraph" w:styleId="35">
    <w:name w:val="toc 3"/>
    <w:basedOn w:val="a2"/>
    <w:next w:val="a2"/>
    <w:autoRedefine/>
    <w:uiPriority w:val="99"/>
    <w:semiHidden/>
    <w:pPr>
      <w:ind w:left="560"/>
      <w:jc w:val="left"/>
    </w:pPr>
    <w:rPr>
      <w:i/>
      <w:iCs/>
    </w:rPr>
  </w:style>
  <w:style w:type="paragraph" w:styleId="41">
    <w:name w:val="toc 4"/>
    <w:basedOn w:val="a2"/>
    <w:next w:val="a2"/>
    <w:autoRedefine/>
    <w:uiPriority w:val="99"/>
    <w:semiHidden/>
    <w:pPr>
      <w:tabs>
        <w:tab w:val="right" w:leader="dot" w:pos="9345"/>
      </w:tabs>
      <w:ind w:left="1407" w:firstLine="33"/>
    </w:pPr>
    <w:rPr>
      <w:noProof/>
    </w:rPr>
  </w:style>
  <w:style w:type="paragraph" w:styleId="51">
    <w:name w:val="toc 5"/>
    <w:basedOn w:val="a2"/>
    <w:next w:val="a2"/>
    <w:autoRedefine/>
    <w:uiPriority w:val="99"/>
    <w:semiHidden/>
    <w:pPr>
      <w:ind w:left="958"/>
    </w:pPr>
  </w:style>
  <w:style w:type="paragraph" w:customStyle="1" w:styleId="a">
    <w:name w:val="список ненумерованный"/>
    <w:uiPriority w:val="99"/>
    <w:pPr>
      <w:numPr>
        <w:numId w:val="4"/>
      </w:numPr>
      <w:spacing w:line="360" w:lineRule="auto"/>
      <w:jc w:val="both"/>
    </w:pPr>
    <w:rPr>
      <w:noProof/>
      <w:sz w:val="28"/>
      <w:szCs w:val="28"/>
    </w:rPr>
  </w:style>
  <w:style w:type="paragraph" w:customStyle="1" w:styleId="a1">
    <w:name w:val="список нумерованный"/>
    <w:uiPriority w:val="99"/>
    <w:pPr>
      <w:numPr>
        <w:numId w:val="5"/>
      </w:numPr>
      <w:spacing w:line="360" w:lineRule="auto"/>
      <w:jc w:val="both"/>
    </w:pPr>
    <w:rPr>
      <w:noProof/>
      <w:sz w:val="28"/>
      <w:szCs w:val="28"/>
    </w:rPr>
  </w:style>
  <w:style w:type="paragraph" w:customStyle="1" w:styleId="af9">
    <w:name w:val="схема"/>
    <w:uiPriority w:val="99"/>
    <w:pPr>
      <w:jc w:val="center"/>
    </w:pPr>
    <w:rPr>
      <w:noProof/>
      <w:sz w:val="24"/>
      <w:szCs w:val="24"/>
    </w:rPr>
  </w:style>
  <w:style w:type="paragraph" w:customStyle="1" w:styleId="afa">
    <w:name w:val="ТАБЛИЦА"/>
    <w:uiPriority w:val="99"/>
    <w:pPr>
      <w:jc w:val="center"/>
    </w:pPr>
  </w:style>
  <w:style w:type="paragraph" w:customStyle="1" w:styleId="afb">
    <w:name w:val="титут"/>
    <w:uiPriority w:val="99"/>
    <w:pPr>
      <w:spacing w:line="360" w:lineRule="auto"/>
      <w:jc w:val="center"/>
    </w:pPr>
    <w:rPr>
      <w:noProof/>
      <w:sz w:val="28"/>
      <w:szCs w:val="28"/>
    </w:rPr>
  </w:style>
  <w:style w:type="paragraph" w:styleId="61">
    <w:name w:val="toc 6"/>
    <w:basedOn w:val="a2"/>
    <w:next w:val="a2"/>
    <w:autoRedefine/>
    <w:uiPriority w:val="99"/>
    <w:semiHidden/>
    <w:pPr>
      <w:ind w:left="1400"/>
    </w:pPr>
  </w:style>
  <w:style w:type="paragraph" w:styleId="71">
    <w:name w:val="toc 7"/>
    <w:basedOn w:val="a2"/>
    <w:next w:val="a2"/>
    <w:autoRedefine/>
    <w:uiPriority w:val="99"/>
    <w:semiHidden/>
    <w:pPr>
      <w:ind w:left="1680"/>
    </w:pPr>
  </w:style>
  <w:style w:type="paragraph" w:styleId="81">
    <w:name w:val="toc 8"/>
    <w:basedOn w:val="a2"/>
    <w:next w:val="a2"/>
    <w:autoRedefine/>
    <w:uiPriority w:val="99"/>
    <w:semiHidden/>
    <w:pPr>
      <w:ind w:left="1960"/>
    </w:pPr>
  </w:style>
  <w:style w:type="paragraph" w:styleId="91">
    <w:name w:val="toc 9"/>
    <w:basedOn w:val="a2"/>
    <w:next w:val="a2"/>
    <w:autoRedefine/>
    <w:uiPriority w:val="99"/>
    <w:semiHidden/>
    <w:pPr>
      <w:ind w:left="2240"/>
    </w:pPr>
  </w:style>
  <w:style w:type="character" w:styleId="af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19690</Words>
  <Characters>112234</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I</vt:lpstr>
    </vt:vector>
  </TitlesOfParts>
  <Company>????</Company>
  <LinksUpToDate>false</LinksUpToDate>
  <CharactersWithSpaces>131661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Alexandre Katalov</dc:creator>
  <cp:keywords/>
  <dc:description/>
  <cp:lastModifiedBy>Irina</cp:lastModifiedBy>
  <cp:revision>2</cp:revision>
  <cp:lastPrinted>2006-07-27T19:55:00Z</cp:lastPrinted>
  <dcterms:created xsi:type="dcterms:W3CDTF">2014-08-08T05:25:00Z</dcterms:created>
  <dcterms:modified xsi:type="dcterms:W3CDTF">2014-08-08T05:25:00Z</dcterms:modified>
</cp:coreProperties>
</file>