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DC" w:rsidRPr="005B7C69" w:rsidRDefault="007C06DC" w:rsidP="007C06DC">
      <w:pPr>
        <w:spacing w:before="120"/>
        <w:jc w:val="center"/>
        <w:rPr>
          <w:b/>
          <w:bCs/>
          <w:sz w:val="32"/>
          <w:szCs w:val="32"/>
        </w:rPr>
      </w:pPr>
      <w:r w:rsidRPr="005B7C69">
        <w:rPr>
          <w:b/>
          <w:bCs/>
          <w:sz w:val="32"/>
          <w:szCs w:val="32"/>
        </w:rPr>
        <w:t>Главные принципы взрывобезопасности.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Принципы взрывобезопасности одинаковы и являются универсальными для всех стран мира. Основа этих принципов - это рекомендации Международной Электротехнической Комиссии. Данная комиссия проверяет аппаратуру на ее соответствие необходимым требованиям сертификации в странах Европы и США. В России эти требования заключаются в ГОСТах. В Европе используется стандарт ATEX, а в США - стандарт FM.</w:t>
      </w:r>
    </w:p>
    <w:p w:rsidR="007C06DC" w:rsidRPr="005B7C69" w:rsidRDefault="007C06DC" w:rsidP="007C06DC">
      <w:pPr>
        <w:spacing w:before="120"/>
        <w:ind w:firstLine="567"/>
        <w:jc w:val="both"/>
      </w:pPr>
      <w:r w:rsidRPr="005B7C69">
        <w:t>В европейском стандарте ATEX приводится детализация примененного в оборудовании вида, которая также признается и в России.</w:t>
      </w:r>
    </w:p>
    <w:p w:rsidR="007C06DC" w:rsidRPr="005B7C69" w:rsidRDefault="007C06DC" w:rsidP="007C06DC">
      <w:pPr>
        <w:spacing w:before="120"/>
        <w:ind w:firstLine="567"/>
        <w:jc w:val="both"/>
      </w:pPr>
      <w:r w:rsidRPr="005B7C69">
        <w:t>Виды взрывозащиты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d - взрывонепроницаемая оболочка;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e - повышенная безопасность;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h - герметическая изоляция;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m - герметизация;</w:t>
      </w:r>
    </w:p>
    <w:p w:rsidR="007C06DC" w:rsidRDefault="007C06DC" w:rsidP="007C06DC">
      <w:pPr>
        <w:spacing w:before="120"/>
        <w:ind w:firstLine="567"/>
        <w:jc w:val="both"/>
      </w:pPr>
      <w:r w:rsidRPr="005B7C69">
        <w:t xml:space="preserve">o - отсутствие искрообразования; </w:t>
      </w:r>
    </w:p>
    <w:p w:rsidR="007C06DC" w:rsidRDefault="007C06DC" w:rsidP="007C06DC">
      <w:pPr>
        <w:spacing w:before="120"/>
        <w:ind w:firstLine="567"/>
        <w:jc w:val="both"/>
      </w:pPr>
      <w:r w:rsidRPr="005B7C69">
        <w:t xml:space="preserve">p - метод повышенного давления; </w:t>
      </w:r>
    </w:p>
    <w:p w:rsidR="007C06DC" w:rsidRDefault="007C06DC" w:rsidP="007C06DC">
      <w:pPr>
        <w:spacing w:before="120"/>
        <w:ind w:firstLine="567"/>
        <w:jc w:val="both"/>
      </w:pPr>
      <w:r w:rsidRPr="005B7C69">
        <w:t xml:space="preserve">ia - искробезопасная электрическая цепь (Zone 0 - взрывоопасная атмосфера); </w:t>
      </w:r>
    </w:p>
    <w:p w:rsidR="007C06DC" w:rsidRDefault="007C06DC" w:rsidP="007C06DC">
      <w:pPr>
        <w:spacing w:before="120"/>
        <w:ind w:firstLine="567"/>
        <w:jc w:val="both"/>
      </w:pPr>
      <w:r w:rsidRPr="005B7C69">
        <w:t xml:space="preserve">ib - искробезопасная электрическая цепь (Zone 1 - взрывоопасная атмосфера, например, в случаях аварий); 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s - спецзащита;</w:t>
      </w:r>
    </w:p>
    <w:p w:rsidR="007C06DC" w:rsidRPr="005B7C69" w:rsidRDefault="007C06DC" w:rsidP="007C06DC">
      <w:pPr>
        <w:spacing w:before="120"/>
        <w:ind w:firstLine="567"/>
        <w:jc w:val="both"/>
      </w:pPr>
      <w:r w:rsidRPr="005B7C69">
        <w:t>q - заполнение порошком.</w:t>
      </w:r>
    </w:p>
    <w:p w:rsidR="007C06DC" w:rsidRDefault="007C06DC" w:rsidP="007C06DC">
      <w:pPr>
        <w:spacing w:before="120"/>
        <w:ind w:firstLine="567"/>
        <w:jc w:val="both"/>
      </w:pPr>
      <w:r w:rsidRPr="005B7C69">
        <w:t xml:space="preserve">Российские Государственные Стандарты 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ГОСТы 112.020, 12.2.020 и с 22782.1 по 22782.6, действующие в РФ, проверяют аппаратуру связи на взрывобезопасность. Маркируется взрывозащищенное оборудование в России в следующей последовательности: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1) уровень: Маркировка защиты аппаратуры от взрыва (2, 1, 0)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2) уровень: Знак Ex, подтверждающий, что оборудование соответствует стандартам взрывозащищенности.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3) уровень: Знак вида взрывозащищенности (d; p; i; q; o; s; e).</w:t>
      </w:r>
    </w:p>
    <w:p w:rsidR="007C06DC" w:rsidRDefault="007C06DC" w:rsidP="007C06DC">
      <w:pPr>
        <w:spacing w:before="120"/>
        <w:ind w:firstLine="567"/>
        <w:jc w:val="both"/>
      </w:pPr>
      <w:r w:rsidRPr="005B7C69">
        <w:t xml:space="preserve">4) уровень: Знак обозначает категорию или подкатегорию оборудования, в зависимости от области применения (II; IIA; IIB; IIC) или маркировка буквой для использования в рудниках первая категория (I); 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5) уровень: Знак, определяющий температурный класс оборудования. Может варьироваться в пределах от Т1 до Т6.</w:t>
      </w:r>
    </w:p>
    <w:p w:rsidR="007C06DC" w:rsidRPr="005B7C69" w:rsidRDefault="007C06DC" w:rsidP="007C06DC">
      <w:pPr>
        <w:spacing w:before="120"/>
        <w:ind w:firstLine="567"/>
        <w:jc w:val="both"/>
      </w:pPr>
      <w:r w:rsidRPr="005B7C69">
        <w:t>Данные обозначения, используются при маркировке электротехники связи, и применяется исключительно в России. В других Европейских стандарте ATEX, взрывобезопасная техника маркируется по-другому.</w:t>
      </w:r>
    </w:p>
    <w:p w:rsidR="007C06DC" w:rsidRPr="005B7C69" w:rsidRDefault="007C06DC" w:rsidP="007C06DC">
      <w:pPr>
        <w:spacing w:before="120"/>
        <w:jc w:val="center"/>
        <w:rPr>
          <w:b/>
          <w:bCs/>
          <w:sz w:val="28"/>
          <w:szCs w:val="28"/>
        </w:rPr>
      </w:pPr>
      <w:r w:rsidRPr="005B7C69">
        <w:rPr>
          <w:b/>
          <w:bCs/>
          <w:sz w:val="28"/>
          <w:szCs w:val="28"/>
        </w:rPr>
        <w:t>Уровень взрывозащиты оборудования</w:t>
      </w:r>
    </w:p>
    <w:p w:rsidR="007C06DC" w:rsidRDefault="007C06DC" w:rsidP="007C06DC">
      <w:pPr>
        <w:spacing w:before="120"/>
        <w:ind w:firstLine="567"/>
        <w:jc w:val="both"/>
      </w:pPr>
      <w:r w:rsidRPr="005B7C69">
        <w:t xml:space="preserve">В российской классификации, уровни взрывозащиты электрооборудования обозначаются цифрами: 2, 1 , 0. 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Уровень 0 - взрывобезопасное оборудование, в котором применяются специальные меры для предотвращения взрыва.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Уровень 1 - Взрывобезопасное оборудование. Основное отличие уровня в том, что взрывобезопасность присутствует не только при нормальных условиях работы, но и при возможных неполадках, которые зависят от условий использования, не считая повреждения средств, которые обеспечивают обеспечивающих взрывобезопасность;</w:t>
      </w:r>
    </w:p>
    <w:p w:rsidR="007C06DC" w:rsidRDefault="007C06DC" w:rsidP="007C06DC">
      <w:pPr>
        <w:spacing w:before="120"/>
        <w:ind w:firstLine="567"/>
        <w:jc w:val="both"/>
      </w:pPr>
      <w:r w:rsidRPr="005B7C69">
        <w:t xml:space="preserve">Уровень 2 - данной цифрой маркируют оборудование повышенной надежности против взрыва. В нем взрывозащита обеспечивается только в нормальном режиме работы; 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Цифры 2, 1 и 0 в России ставятся как первые цифры перед маркировочной системой взрывозащищенности оборудования - ATEX, обозначая степень взрывозащищенности оборудования.</w:t>
      </w:r>
    </w:p>
    <w:p w:rsidR="007C06DC" w:rsidRPr="005B7C69" w:rsidRDefault="007C06DC" w:rsidP="007C06DC">
      <w:pPr>
        <w:spacing w:before="120"/>
        <w:ind w:firstLine="567"/>
        <w:jc w:val="both"/>
      </w:pPr>
      <w:r w:rsidRPr="005B7C69">
        <w:t xml:space="preserve">Вид маркировки можно посмотреть на примере головного взрывобезопасного светильника НГР. 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Категории электрооборудования в зависимости от области применения при работе во взрывоопасной обстановке.</w:t>
      </w:r>
    </w:p>
    <w:p w:rsidR="007C06DC" w:rsidRDefault="007C06DC" w:rsidP="007C06DC">
      <w:pPr>
        <w:spacing w:before="120"/>
        <w:ind w:firstLine="567"/>
        <w:jc w:val="both"/>
      </w:pPr>
      <w:r w:rsidRPr="005B7C69">
        <w:t xml:space="preserve">В классификации Российской Федерации существуют I и II категории 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Первая категория подтверждает выполнение требований к оборудованию, используемое при работах в шахте или рудниках, где присутствует вероятность взрыва рудничного метана.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Также, рудничное оборудование дополнительно маркируется буквами: (РН, РП, РВ, РО).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Все примеры промаркированного таким образом оборудования вы можете увидеть на сайте Прокопьевского завода "Электроаппарат", крупнейшего в России поставщика взрывозащищенного электрооборудования: осветительных приборов, шахтной автоматики,</w:t>
      </w:r>
    </w:p>
    <w:p w:rsidR="007C06DC" w:rsidRDefault="007C06DC" w:rsidP="007C06DC">
      <w:pPr>
        <w:spacing w:before="120"/>
        <w:ind w:firstLine="567"/>
        <w:jc w:val="both"/>
      </w:pPr>
      <w:r w:rsidRPr="005B7C69">
        <w:t xml:space="preserve">“РН” –расшифровывается как: “рудничное нормальное” (от взрывов не защищено) 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“РП” – расшифровывается, как: “рудничное, повышенной надежности против взрыва” (2 уровень взрывозащиты)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(пример: Светильник шахтный СГД: )</w:t>
      </w:r>
    </w:p>
    <w:p w:rsidR="007C06DC" w:rsidRDefault="007C06DC" w:rsidP="007C06DC">
      <w:pPr>
        <w:spacing w:before="120"/>
        <w:ind w:firstLine="567"/>
        <w:jc w:val="both"/>
      </w:pPr>
      <w:r w:rsidRPr="005B7C69">
        <w:t>“РВ” – расшифровывается, как: “рудничное взрывозащищенное” (1 уровень взрывозащиты)</w:t>
      </w:r>
    </w:p>
    <w:p w:rsidR="007C06DC" w:rsidRDefault="007C06DC" w:rsidP="007C06DC">
      <w:pPr>
        <w:spacing w:before="120"/>
        <w:ind w:firstLine="567"/>
        <w:jc w:val="both"/>
      </w:pPr>
      <w:r w:rsidRPr="005B7C69">
        <w:t xml:space="preserve">(пример: светильник шахтный СШЛ ) </w:t>
      </w:r>
    </w:p>
    <w:p w:rsidR="007C06DC" w:rsidRPr="005B7C69" w:rsidRDefault="007C06DC" w:rsidP="007C06DC">
      <w:pPr>
        <w:spacing w:before="120"/>
        <w:ind w:firstLine="567"/>
        <w:jc w:val="both"/>
      </w:pPr>
      <w:r w:rsidRPr="005B7C69">
        <w:t>“РО” – расшифровывается, как: “рудничное особовзрывобезопасное” (0 уровень взрывозащиты)</w:t>
      </w:r>
    </w:p>
    <w:p w:rsidR="007C06DC" w:rsidRPr="005B7C69" w:rsidRDefault="007C06DC" w:rsidP="007C06DC">
      <w:pPr>
        <w:spacing w:before="120"/>
        <w:jc w:val="center"/>
        <w:rPr>
          <w:b/>
          <w:bCs/>
          <w:sz w:val="28"/>
          <w:szCs w:val="28"/>
        </w:rPr>
      </w:pPr>
      <w:r w:rsidRPr="005B7C69">
        <w:rPr>
          <w:b/>
          <w:bCs/>
          <w:sz w:val="28"/>
          <w:szCs w:val="28"/>
        </w:rPr>
        <w:t>II Категория</w:t>
      </w:r>
    </w:p>
    <w:p w:rsidR="007C06DC" w:rsidRDefault="007C06DC" w:rsidP="007C06DC">
      <w:pPr>
        <w:spacing w:before="120"/>
        <w:ind w:firstLine="567"/>
        <w:jc w:val="both"/>
      </w:pPr>
      <w:r w:rsidRPr="005B7C69">
        <w:t xml:space="preserve">Ко второй категории относят оборудование, которое применяется при работе в условиях, где может произойти образование взрывоопасных смесей промышленных газов и взвесей. Во второй категории существуют 3 подкатегории: (IIA, IIB, IIC). </w:t>
      </w:r>
    </w:p>
    <w:p w:rsidR="007C06DC" w:rsidRPr="005B7C69" w:rsidRDefault="007C06DC" w:rsidP="007C06DC">
      <w:pPr>
        <w:spacing w:before="120"/>
        <w:ind w:firstLine="567"/>
        <w:jc w:val="both"/>
      </w:pPr>
      <w:r w:rsidRPr="005B7C69">
        <w:t xml:space="preserve">Подкатегория С – это высшая категория, соответствующая требованиям категорий - А, В и С , то есть Категория С – самая строгая категория. При первой категории российский ГОСТ и требования стандарта АТЕХ совпадают. По системе ATEX Рудничное оборудование должно содержать ATEX индекс в своей маркировке "… I T1".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6DC"/>
    <w:rsid w:val="00095BA6"/>
    <w:rsid w:val="0031418A"/>
    <w:rsid w:val="00425858"/>
    <w:rsid w:val="005A2562"/>
    <w:rsid w:val="005B7C69"/>
    <w:rsid w:val="0065499A"/>
    <w:rsid w:val="007C06DC"/>
    <w:rsid w:val="00A44D32"/>
    <w:rsid w:val="00A9614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A2BC4A-3B1C-4637-BF4F-7022CC9B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D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C0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3871</Characters>
  <Application>Microsoft Office Word</Application>
  <DocSecurity>0</DocSecurity>
  <Lines>32</Lines>
  <Paragraphs>9</Paragraphs>
  <ScaleCrop>false</ScaleCrop>
  <Company>Home</Company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Главные принципы взрывобезопасности</dc:title>
  <dc:subject/>
  <dc:creator>Alena</dc:creator>
  <cp:keywords/>
  <dc:description/>
  <cp:lastModifiedBy>admin</cp:lastModifiedBy>
  <cp:revision>2</cp:revision>
  <dcterms:created xsi:type="dcterms:W3CDTF">2014-02-18T09:47:00Z</dcterms:created>
  <dcterms:modified xsi:type="dcterms:W3CDTF">2014-02-18T09:47:00Z</dcterms:modified>
</cp:coreProperties>
</file>