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D74B38">
      <w:pPr>
        <w:ind w:left="-284"/>
        <w:jc w:val="center"/>
        <w:rPr>
          <w:sz w:val="24"/>
        </w:rPr>
      </w:pPr>
    </w:p>
    <w:p w:rsidR="00D74B38" w:rsidRDefault="00E16641">
      <w:pPr>
        <w:pStyle w:val="1"/>
        <w:spacing w:line="480" w:lineRule="auto"/>
        <w:ind w:left="-284"/>
        <w:rPr>
          <w:sz w:val="36"/>
        </w:rPr>
      </w:pPr>
      <w:r>
        <w:rPr>
          <w:sz w:val="36"/>
        </w:rPr>
        <w:t>Контрольная работа</w:t>
      </w:r>
    </w:p>
    <w:p w:rsidR="00D74B38" w:rsidRDefault="00E16641">
      <w:pPr>
        <w:spacing w:line="480" w:lineRule="auto"/>
        <w:ind w:left="-284"/>
        <w:jc w:val="center"/>
        <w:rPr>
          <w:sz w:val="36"/>
        </w:rPr>
      </w:pPr>
      <w:r>
        <w:rPr>
          <w:sz w:val="36"/>
        </w:rPr>
        <w:t>по международному частному праву</w:t>
      </w:r>
    </w:p>
    <w:p w:rsidR="00D74B38" w:rsidRDefault="00E16641">
      <w:pPr>
        <w:spacing w:line="480" w:lineRule="auto"/>
        <w:ind w:left="-284"/>
        <w:jc w:val="center"/>
        <w:rPr>
          <w:i/>
          <w:sz w:val="28"/>
        </w:rPr>
      </w:pPr>
      <w:r>
        <w:rPr>
          <w:sz w:val="28"/>
        </w:rPr>
        <w:t xml:space="preserve">на тему 1: </w:t>
      </w:r>
      <w:r>
        <w:rPr>
          <w:i/>
          <w:sz w:val="28"/>
        </w:rPr>
        <w:t>Коллизионная ситуация и выбор права.</w:t>
      </w:r>
    </w:p>
    <w:p w:rsidR="00D74B38" w:rsidRDefault="00E16641">
      <w:pPr>
        <w:pStyle w:val="2"/>
        <w:ind w:left="-284"/>
        <w:rPr>
          <w:sz w:val="28"/>
        </w:rPr>
      </w:pPr>
      <w:r>
        <w:rPr>
          <w:sz w:val="28"/>
        </w:rPr>
        <w:t>Метод международного частного права</w:t>
      </w:r>
    </w:p>
    <w:p w:rsidR="00D74B38" w:rsidRDefault="00E16641">
      <w:pPr>
        <w:spacing w:line="480" w:lineRule="auto"/>
        <w:ind w:left="-284"/>
        <w:jc w:val="center"/>
        <w:rPr>
          <w:sz w:val="28"/>
        </w:rPr>
      </w:pPr>
      <w:r>
        <w:rPr>
          <w:sz w:val="28"/>
        </w:rPr>
        <w:t>студентки 6-го курса МЗФ МГЮА 8 группы</w:t>
      </w:r>
    </w:p>
    <w:p w:rsidR="00D74B38" w:rsidRDefault="00E16641">
      <w:pPr>
        <w:spacing w:line="480" w:lineRule="auto"/>
        <w:ind w:left="-284"/>
        <w:jc w:val="center"/>
        <w:rPr>
          <w:sz w:val="28"/>
        </w:rPr>
      </w:pPr>
      <w:r>
        <w:rPr>
          <w:sz w:val="28"/>
        </w:rPr>
        <w:t>Ганиной С.Ю.</w:t>
      </w: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D74B38">
      <w:pPr>
        <w:ind w:left="-284"/>
        <w:jc w:val="center"/>
        <w:rPr>
          <w:sz w:val="28"/>
        </w:rPr>
      </w:pPr>
    </w:p>
    <w:p w:rsidR="00D74B38" w:rsidRDefault="00E16641">
      <w:pPr>
        <w:ind w:left="-284"/>
        <w:jc w:val="center"/>
        <w:rPr>
          <w:sz w:val="28"/>
        </w:rPr>
      </w:pPr>
      <w:r>
        <w:rPr>
          <w:sz w:val="28"/>
        </w:rPr>
        <w:t>6 октябрь 1998 года</w:t>
      </w:r>
    </w:p>
    <w:p w:rsidR="00D74B38" w:rsidRDefault="00E16641">
      <w:pPr>
        <w:numPr>
          <w:ilvl w:val="0"/>
          <w:numId w:val="3"/>
        </w:numPr>
        <w:tabs>
          <w:tab w:val="clear" w:pos="360"/>
          <w:tab w:val="num" w:pos="993"/>
        </w:tabs>
        <w:ind w:left="0" w:firstLine="567"/>
        <w:rPr>
          <w:i/>
          <w:sz w:val="24"/>
        </w:rPr>
      </w:pPr>
      <w:r>
        <w:rPr>
          <w:sz w:val="24"/>
        </w:rPr>
        <w:br w:type="page"/>
      </w:r>
      <w:r>
        <w:rPr>
          <w:i/>
          <w:sz w:val="24"/>
        </w:rPr>
        <w:t>Коллизии между гражданско-правовыми системами государств. Основания и предпосылки  возникновения  коллизий гражданского права различных государств. Проблема выбора права.</w:t>
      </w:r>
    </w:p>
    <w:p w:rsidR="00D74B38" w:rsidRDefault="00D74B38">
      <w:pPr>
        <w:rPr>
          <w:sz w:val="24"/>
        </w:rPr>
      </w:pPr>
    </w:p>
    <w:p w:rsidR="00D74B38" w:rsidRDefault="00D74B38">
      <w:pPr>
        <w:rPr>
          <w:sz w:val="24"/>
        </w:rPr>
      </w:pPr>
    </w:p>
    <w:p w:rsidR="00D74B38" w:rsidRDefault="00D74B38">
      <w:pPr>
        <w:rPr>
          <w:sz w:val="24"/>
        </w:rPr>
      </w:pPr>
    </w:p>
    <w:p w:rsidR="00D74B38" w:rsidRDefault="00D74B38">
      <w:pPr>
        <w:rPr>
          <w:sz w:val="24"/>
        </w:rPr>
      </w:pPr>
    </w:p>
    <w:p w:rsidR="00D74B38" w:rsidRDefault="00E16641">
      <w:pPr>
        <w:pStyle w:val="a3"/>
        <w:rPr>
          <w:sz w:val="24"/>
        </w:rPr>
      </w:pPr>
      <w:r>
        <w:rPr>
          <w:sz w:val="24"/>
        </w:rPr>
        <w:t>«Коллизия» – латинское слово, означающее столкновение. Этот термин является условным. О коллизии законов говорят образно, говоря тем самым о необходимости выбора права между законами разных государств. Коллизионная проблема – проблема выбора права, подлежащего применению к тому или иному правоотношению, – типична,  прежде всего, для  международного частного права. Если в других отраслях права вопросы коллизии законов имеют второстепенное значение, то здесь именно коллизионная проблема и ее устранение составляют основное содержание этой правовой отрасли, что отразилось в том, что в ряде  стран ее называют коллизионным правом.</w:t>
      </w:r>
    </w:p>
    <w:p w:rsidR="00D74B38" w:rsidRDefault="00E16641">
      <w:pPr>
        <w:pStyle w:val="20"/>
      </w:pPr>
      <w:r>
        <w:t>Итак, наличие гражданско-правового отношения, осложненного иностранным элементом, приводит к коллизии гражданского права различных государств, что, в свою очередь, порождает проблему выбора права, подлежащего применению для урегулирования такого отношения.</w:t>
      </w:r>
    </w:p>
    <w:p w:rsidR="00D74B38" w:rsidRDefault="00E16641">
      <w:pPr>
        <w:ind w:firstLine="567"/>
        <w:jc w:val="both"/>
        <w:rPr>
          <w:sz w:val="24"/>
        </w:rPr>
      </w:pPr>
      <w:r>
        <w:rPr>
          <w:sz w:val="24"/>
        </w:rPr>
        <w:t>Гражданско-правовые отношения относятся к предмету международного частного права, являясь отношениями лежащими в сфере действия гражданского права, имеющего национальный характер. Наличие в таком отношении иностранного элемента связывает его с гражданским правом не одного государства, а нескольких – потенциально оно может быть урегулировано правом каждого государства, которому принадлежит тот или иной его элемент. Гражданское право разных государств отличается, подчас существенно, по своему содержанию – одни и те же  вопросы по разному решаются в праве разных государств. Следствием этого является коллизия права, заключающаяся в том, что одним и тем же фактическим обстоятельствам может быть дана различная юридическая оценка и в итоге в соответствии с правом разных государств может быть дан разный ответ на один и тот же вопрос.</w:t>
      </w:r>
    </w:p>
    <w:p w:rsidR="00D74B38" w:rsidRDefault="00E16641">
      <w:pPr>
        <w:pStyle w:val="a3"/>
        <w:rPr>
          <w:sz w:val="24"/>
        </w:rPr>
      </w:pPr>
      <w:r>
        <w:rPr>
          <w:sz w:val="24"/>
        </w:rPr>
        <w:t>Встречаются случаи, когда на территории государства заключают договор, например, о совместной хозяйственной деятельности гражданин этого государства и другого. Предположим, что гражданин другого государства не выполняет свои обязательства. Гражданин государства, на территории которого заключили договор, подает исковое заявление в суд. Выясняется, что по закону государства, гражданином которого является ответчик, не выполнивший обязательства по договору, не достиг еще возраста правовой дееспособности. Следовательно, вопрос о действительности договора может быть решен по-разному. Итак, коллизия права – это объективно возникающее явление, которое порождается двумя причинами: наличием иностранного элемента в гражданском правовом отношении и различным содержанием гражданского права разных государств, с которыми это правовое отношение связано.</w:t>
      </w:r>
    </w:p>
    <w:p w:rsidR="00D74B38" w:rsidRDefault="00E16641">
      <w:pPr>
        <w:pStyle w:val="a3"/>
        <w:rPr>
          <w:sz w:val="24"/>
        </w:rPr>
      </w:pPr>
      <w:r>
        <w:rPr>
          <w:sz w:val="24"/>
        </w:rPr>
        <w:t>Необходимой предпосылкой правового регулирования такого отношения является выбор гражданского права того государства, которое будет компетентно его регулировать. Во внутреннем праве государств есть особые нормы – коллизионные, которые содержат правила выбора права: или тем или иным способом указывают, гражданское право какого государства должно быть применено для урегулирования конкретного гражданского отношения с иностранным элементом. Так что прежде чем рассматривать проблемы, касающиеся отношений, осложненных иностранным элементом, необходимо решить коллизию права и ответить на так называемый коллизионный вопрос: право какого государства надо применить для рассмотрения искового требования, то есть выбрать право. Иными словами в национальном праве государства, на территории которого рассматривается правоотношение, осложненное иностранным элементом, необходимо найти такую норму, которая бы и обосновывала ответ на возникающий  коллизионный  вопрос. Такая норма называется коллизионной нормой.</w:t>
      </w:r>
    </w:p>
    <w:p w:rsidR="00D74B38" w:rsidRDefault="00E16641">
      <w:pPr>
        <w:pStyle w:val="a3"/>
        <w:rPr>
          <w:sz w:val="24"/>
        </w:rPr>
      </w:pPr>
      <w:r>
        <w:rPr>
          <w:sz w:val="24"/>
        </w:rPr>
        <w:t>В России коллизионные нормы содержать в ГК в седьмом разделе «Правоспособность иностранных граждан и лиц без гражданства». Применение гражданских законов иностранных государств и международных договоров». В ГК РФ говорится, что если невозможно определить право, подлежащее применению, применяется право, наиболее тесно связанное с гражданско-правовыми отношениями, осложненными иностранным элементом. При определении права, подлежащего применению, суд основывается на толковании юридических понятий в соответствии с правом страны суда, если иное не предусмотрено законом. Если же юридические понятия, требующие правовой квалификации, не известны праву страны суда или известны под другим названием или с другим содержанием и не могут быть определены путем толкования по праву страны суда, то при их квалификации может применяться право иностранного государства. Здесь следует отметить, что любая отсылка к иностранному праву в соответствии с правилами раздела 7 ГК РФ должна рассматриваться кроме случаев, предусмотренных соответствующей статьей, как отсылка к материальному, а не коллизионному праву соответствующей страны.</w:t>
      </w:r>
    </w:p>
    <w:p w:rsidR="00D74B38" w:rsidRDefault="00E16641">
      <w:pPr>
        <w:pStyle w:val="a3"/>
        <w:rPr>
          <w:sz w:val="24"/>
        </w:rPr>
      </w:pPr>
      <w:r>
        <w:rPr>
          <w:sz w:val="24"/>
        </w:rPr>
        <w:t>Суд применяет иностранное право независимо от того, применяется ли в соответствующем иностранном государстве к аналогичным отношениям российское право за исключением случаев, когда применение иностранного права на началах взаимности предусмотрено законом Российской Федерации. Далее закрепляется презумпция существования такой взаимности: если применение иностранного права зависит от взаимности, предполагается, что она существует, поскольку не доказано иное.</w:t>
      </w:r>
    </w:p>
    <w:p w:rsidR="00D74B38" w:rsidRDefault="00E16641">
      <w:pPr>
        <w:pStyle w:val="a3"/>
        <w:rPr>
          <w:sz w:val="24"/>
        </w:rPr>
      </w:pPr>
      <w:r>
        <w:rPr>
          <w:sz w:val="24"/>
        </w:rPr>
        <w:t>В случаях, когда подлежит применению право страны, в которой действует несколько территориальных правовых систем, применяется правовая система в соответствии с правом этой страны. Это исходит из решения, разработанного в рамках Гаагской конференции по международному частному праву (оно может быть использовано только тогда, когда основная правовая система предусматривает применимость своих подсистем). Данное решение трудно применить к США, где принятие частно-правовых законов отнесено к компетенции отдельных штатов, а федеральное коллизионное законодательство отсутствует.</w:t>
      </w:r>
    </w:p>
    <w:p w:rsidR="00D74B38" w:rsidRDefault="00E16641">
      <w:pPr>
        <w:pStyle w:val="a3"/>
        <w:rPr>
          <w:sz w:val="24"/>
        </w:rPr>
      </w:pPr>
      <w:r>
        <w:rPr>
          <w:sz w:val="24"/>
        </w:rPr>
        <w:t>Суд применяет иностранное право независимо от того, применяется ли в соответствующем иностранном государстве к аналогичным отношениям российское право, за исключением случаев, когда применение иностранного права на началах взаимности предусмотрено законом Российской Федерации.</w:t>
      </w:r>
    </w:p>
    <w:p w:rsidR="00D74B38" w:rsidRDefault="00E16641">
      <w:pPr>
        <w:pStyle w:val="a3"/>
        <w:rPr>
          <w:sz w:val="24"/>
        </w:rPr>
      </w:pPr>
      <w:r>
        <w:rPr>
          <w:sz w:val="24"/>
        </w:rPr>
        <w:t>Иностранное право не применяется в случаях, когда его применение противоречило бы основам правопорядка РФ. В этих случаях применяется российское право.</w:t>
      </w:r>
    </w:p>
    <w:p w:rsidR="00D74B38" w:rsidRDefault="00E16641">
      <w:pPr>
        <w:pStyle w:val="a3"/>
        <w:rPr>
          <w:sz w:val="24"/>
        </w:rPr>
      </w:pPr>
      <w:r>
        <w:rPr>
          <w:sz w:val="24"/>
        </w:rPr>
        <w:t>Отказ в применении иностранного права не может быть основан лишь на отличии политической или экономической систем Российской Федерации.</w:t>
      </w:r>
    </w:p>
    <w:p w:rsidR="00D74B38" w:rsidRDefault="00E16641">
      <w:pPr>
        <w:pStyle w:val="a3"/>
        <w:rPr>
          <w:sz w:val="24"/>
        </w:rPr>
      </w:pPr>
      <w:r>
        <w:rPr>
          <w:sz w:val="24"/>
        </w:rPr>
        <w:t>От иностранных специалистов в отношении оговорки о публичном порядке поступило замечание. Предложено отредактировать эту норму – подчеркнуть, что результат применения иностранного права должен быть явно не совместимым с основами правопорядка Российской Федерации.</w:t>
      </w:r>
    </w:p>
    <w:p w:rsidR="00D74B38" w:rsidRDefault="00E16641">
      <w:pPr>
        <w:pStyle w:val="a3"/>
        <w:rPr>
          <w:sz w:val="24"/>
        </w:rPr>
      </w:pPr>
      <w:r>
        <w:rPr>
          <w:sz w:val="24"/>
        </w:rPr>
        <w:t>Недействительны соглашения и иные действия участников отношений, регулируемых Гражданским Кодексом, направленные на то, чтобы в обход правил Седьмого раздела ГК РФ о подлежащем применению праве подчинить соответствующие отношения иному праву. В этом случае применяется право, подлежащее применению в соответствии с седьмым разделом ГК РФ. Эта статья пресекает попытки отдельных субъектов путем оговорок обойти закон.</w:t>
      </w:r>
    </w:p>
    <w:p w:rsidR="00D74B38" w:rsidRDefault="00E16641">
      <w:pPr>
        <w:pStyle w:val="a3"/>
        <w:rPr>
          <w:sz w:val="24"/>
        </w:rPr>
      </w:pPr>
      <w:r>
        <w:rPr>
          <w:sz w:val="24"/>
        </w:rPr>
        <w:t>В ГК РФ говорится также о том, что Правительство Российской Федерации может устанавливать ответные ограничения (реторсии) в отношении прав граждан и юридических лиц государств, в которых имеются специальные ограничения прав российских граждан и юридических лиц.</w:t>
      </w:r>
    </w:p>
    <w:p w:rsidR="00D74B38" w:rsidRDefault="00E16641">
      <w:pPr>
        <w:pStyle w:val="a3"/>
        <w:rPr>
          <w:sz w:val="24"/>
        </w:rPr>
      </w:pPr>
      <w:r>
        <w:rPr>
          <w:sz w:val="24"/>
        </w:rPr>
        <w:t>Гражданским Кодексом РФ урегулирована также дееспособность иностранных граждан и лиц без гражданства. Гражданская дееспособность иностранного гражданина или лица без гражданства определяется его личным законом. Гражданская дееспособность их в отношении сделок, совершаемых в Российской Федерации, и обязательств, возникающих вследствие причинения вреда в Российской Федерации, определяется по российскому праву. Признание в Российской Федерации иностранного гражданина или лица без гражданства недееспособным или ограниченно дееспособным подчиняется российскому праву.</w:t>
      </w:r>
    </w:p>
    <w:p w:rsidR="00D74B38" w:rsidRDefault="00E16641">
      <w:pPr>
        <w:pStyle w:val="a3"/>
        <w:rPr>
          <w:sz w:val="24"/>
        </w:rPr>
      </w:pPr>
      <w:r>
        <w:rPr>
          <w:sz w:val="24"/>
        </w:rPr>
        <w:t>В ГК РФ регламентированы права и обязанности иностранных индивидуальных предпринимателей. Способность иностранного гражданина или лица без гражданства быть индивидуальным предпринимателем и иметь связанные с этим права и обязанности определяются по праву страны, где иностранный или лицо без гражданства зарегистрированы в качестве индивидуального предпринимателя. При отсутствии страны регистрации применяется право страны основного места осуществления индивидуальной предпринимательской деятельности.</w:t>
      </w:r>
    </w:p>
    <w:p w:rsidR="00D74B38" w:rsidRDefault="00E16641">
      <w:pPr>
        <w:pStyle w:val="a3"/>
        <w:rPr>
          <w:sz w:val="24"/>
        </w:rPr>
      </w:pPr>
      <w:r>
        <w:rPr>
          <w:sz w:val="24"/>
        </w:rPr>
        <w:t>Совокупность коллизионных норм того или иного государства составляет «коллизионное право» этого государства: оно носит национальный характер и является частью национального права соответствующего государства. Коллизионное право – это основная часть международного частного права, определяющая его основные черты и особенности. Также как и коллизионное право, международное частное право, вопреки своему названию, в целом носит национальный характер. В отличие от международного публичного права, единого для всех государств, международное частное право существует в рамках национального права каждого государства: «российское международное частное право», «японское международное частное право» и т.д.</w:t>
      </w:r>
    </w:p>
    <w:p w:rsidR="00D74B38" w:rsidRDefault="00E16641">
      <w:pPr>
        <w:pStyle w:val="a3"/>
        <w:rPr>
          <w:sz w:val="24"/>
        </w:rPr>
      </w:pPr>
      <w:r>
        <w:rPr>
          <w:sz w:val="24"/>
        </w:rPr>
        <w:t>Национальный характер не исключает наличия в международном частном праве разных государств общих черт. В гражданском праве разных государств встречаются одинаковые или близкие положения и правила. И это понятно: хотя право и относится к области внутренней юрисдикции государств, в процессе их сотрудничества происходит взаимовлияние в области права. Тем более такое взаимовлияние ощутимо в сфере международного частного права. По своей природе оно регулирует такие отношения, которые непосредственно лежат в сфере международного общения, что неизбежно сказывается на содержании самого права.</w:t>
      </w:r>
    </w:p>
    <w:p w:rsidR="00D74B38" w:rsidRDefault="00E16641">
      <w:pPr>
        <w:numPr>
          <w:ilvl w:val="0"/>
          <w:numId w:val="3"/>
        </w:numPr>
        <w:tabs>
          <w:tab w:val="clear" w:pos="360"/>
          <w:tab w:val="num" w:pos="993"/>
        </w:tabs>
        <w:ind w:left="0" w:firstLine="567"/>
        <w:rPr>
          <w:i/>
          <w:sz w:val="24"/>
        </w:rPr>
      </w:pPr>
      <w:r>
        <w:rPr>
          <w:sz w:val="24"/>
        </w:rPr>
        <w:br w:type="page"/>
      </w:r>
      <w:r>
        <w:rPr>
          <w:i/>
          <w:sz w:val="24"/>
        </w:rPr>
        <w:t>Преодоление коллизионной ситуации. Метод международного частного права и основные способы его осуществления.</w:t>
      </w:r>
    </w:p>
    <w:p w:rsidR="00D74B38" w:rsidRDefault="00D74B38">
      <w:pPr>
        <w:rPr>
          <w:sz w:val="24"/>
        </w:rPr>
      </w:pPr>
    </w:p>
    <w:p w:rsidR="00D74B38" w:rsidRDefault="00D74B38">
      <w:pPr>
        <w:rPr>
          <w:sz w:val="24"/>
        </w:rPr>
      </w:pPr>
    </w:p>
    <w:p w:rsidR="00D74B38" w:rsidRDefault="00D74B38">
      <w:pPr>
        <w:rPr>
          <w:sz w:val="24"/>
        </w:rPr>
      </w:pPr>
    </w:p>
    <w:p w:rsidR="00D74B38" w:rsidRDefault="00D74B38">
      <w:pPr>
        <w:rPr>
          <w:sz w:val="24"/>
        </w:rPr>
      </w:pPr>
    </w:p>
    <w:p w:rsidR="00D74B38" w:rsidRDefault="00D74B38">
      <w:pPr>
        <w:rPr>
          <w:sz w:val="24"/>
        </w:rPr>
      </w:pPr>
    </w:p>
    <w:p w:rsidR="00D74B38" w:rsidRDefault="00E16641">
      <w:pPr>
        <w:pStyle w:val="a3"/>
        <w:rPr>
          <w:sz w:val="24"/>
        </w:rPr>
      </w:pPr>
      <w:r>
        <w:rPr>
          <w:sz w:val="24"/>
        </w:rPr>
        <w:t>Международному частному праву присущи свои собственные приемы и средства регламентации прав и обязанностей участников международного гражданского оборота.</w:t>
      </w:r>
    </w:p>
    <w:p w:rsidR="00D74B38" w:rsidRDefault="00E16641">
      <w:pPr>
        <w:pStyle w:val="a3"/>
        <w:rPr>
          <w:sz w:val="24"/>
        </w:rPr>
      </w:pPr>
      <w:r>
        <w:rPr>
          <w:sz w:val="24"/>
        </w:rPr>
        <w:t>Специфика международного частного права, включая метод и способы регулирования, обусловлена уникальностью объекта регулирования – гражданских отношений, осложненных иностранным элементом. Они порождают особую проблему – коллизию гражданского права различных государств, решение которой является необходимым условием их регулирования. В преодолении коллизионной проблемы заключается общий  метод международного частного права.</w:t>
      </w:r>
    </w:p>
    <w:p w:rsidR="00D74B38" w:rsidRDefault="00E16641">
      <w:pPr>
        <w:pStyle w:val="a3"/>
        <w:rPr>
          <w:sz w:val="24"/>
        </w:rPr>
      </w:pPr>
      <w:r>
        <w:rPr>
          <w:sz w:val="24"/>
        </w:rPr>
        <w:t>Первый способ регулирования гражданских отношений, осложненных иностранным элементом – коллизионно-правовой, сущность которого заключается в выборе компетентного правопорядка для разрешения конкретного гражданского дела. Выбор, как уже указывалось в первом вопросе, осуществляется с помощью коллизионных норм, которые и содержат предписание о том, право какого государства надо применять. Этот способ называется еще и отсылочным. Коллизионная норма, указывая компетентный правопорядок, как бы отсылает для определения прав и обязанностей участников гражданско-правового отношения к праву определенного государства.</w:t>
      </w:r>
    </w:p>
    <w:p w:rsidR="00D74B38" w:rsidRDefault="00E16641">
      <w:pPr>
        <w:pStyle w:val="a3"/>
        <w:rPr>
          <w:sz w:val="24"/>
        </w:rPr>
      </w:pPr>
      <w:r>
        <w:rPr>
          <w:sz w:val="24"/>
        </w:rPr>
        <w:t>Коллизионно-правовой – исторически первый способ регулирования в международном частном праве. Первые правила, а затем и первые доктрины, относящиеся к сфере международного частного права, появились тогда, когда стали возникать многочисленные коллизии права в результате развития взаимоотношений между государственными образованиями, в которых сложились свои, обособленные,  с достаточно четкими различиями, нормы гражданского права. Эти правила, получившие название коллизионных норм, применялись для решения проблем, возникающих из коллизии разноместных законов. В течение долгого времени международное частное право существовало и развивалось только как коллизионное право. В некоторых странах (США, ФРГ и т.д.) такая позиция по отношению к международному частному праву сохранилась и в настоящее время. Там оно называется коллизионным. В последнее время в российской юридической литературе стали выражаться взгляды, ограничивающие международное  частное право исключительно коллизионными нормами.</w:t>
      </w:r>
    </w:p>
    <w:p w:rsidR="00D74B38" w:rsidRDefault="00E16641">
      <w:pPr>
        <w:pStyle w:val="a3"/>
        <w:rPr>
          <w:sz w:val="24"/>
        </w:rPr>
      </w:pPr>
      <w:r>
        <w:rPr>
          <w:sz w:val="24"/>
        </w:rPr>
        <w:t>Несмотря на свою традиционность, применение коллизионно-правового способа связано с большими трудностями юридико-технического характера. Некоторые из них обусловлены национальным характером коллизионных норм. Так же как и нормы гражданского права, коллизионные нормы разных государств неизбежно отличаются по своему содержанию: они по разному решают коллизионные вопросы при регулировании однородных гражданских отношений с иностранным элементом. В результате выбор права при одной и той же совокупности фактических обстоятельств может быть разным в зависимости от того, по коллизионному праву какого государства он будет осуществляться. От решения коллизионного вопроса зависит решение дела по существу. Это явление носит название «коллизии коллизий», т.е. коллизия коллизионных норм, и является деструктивным фактором в организации международного гражданского оборота. Расхождение в содержании гражданского и коллизионного права различных государств, приводит к появлению так называемых «хромающих отношений». Это такие отношения, которые по праву одного государства являются юридически действительными, законными, а по праву другого государства – они незаконны и не порождают никаких юридических последствий. Такие отношения возникают в практике часто, осложняя тем самым реализацию гражданско-правовых связей.</w:t>
      </w:r>
    </w:p>
    <w:p w:rsidR="00D74B38" w:rsidRDefault="00E16641">
      <w:pPr>
        <w:pStyle w:val="a3"/>
        <w:rPr>
          <w:sz w:val="24"/>
        </w:rPr>
      </w:pPr>
      <w:r>
        <w:rPr>
          <w:sz w:val="24"/>
        </w:rPr>
        <w:t>Сложность коллизионно-правового способа регулирования связано с возможным применением иностранного права: коллизионная норма может отослать как к собственному праву, так и к праву иностранному. В последнем случае суд или иной правоприменительный орган будет обязан в силу предписаний отечественной коллизионной нормы рассмотреть дело на основе иностранного гражданского права. Но, как показывает практика установить содержание и квалифицированно реализовать нормы иностранного права довольно сложно.</w:t>
      </w:r>
    </w:p>
    <w:p w:rsidR="00D74B38" w:rsidRDefault="00E16641">
      <w:pPr>
        <w:pStyle w:val="a3"/>
        <w:rPr>
          <w:sz w:val="24"/>
        </w:rPr>
      </w:pPr>
      <w:r>
        <w:rPr>
          <w:sz w:val="24"/>
        </w:rPr>
        <w:t>Осуществление коллизионного способа регулирования затрудняется и тем, что многие государства либо вообще не имеют системы коллизионных норм, либо она слабо развита. Правда, в последнее время набирает силу процесс создания и совершенствования национального коллизионного права. В ряде стран были приняты новые законы или подготовлены проекты. Примеры: 1978 год – Закон о международном частном праве в Австрии; 1979 год – Закон о международном частном праве в Венгрии; 1982 год – Закон о разрешении коллизий между законом и нормами иностранного права в Югославии, Закон о международном частном праве и процессе в Турции; 1986 год – Закон о новом регулировании в области международного частного права в ФРГ; подготовлены и обсуждены проекты соответствующих законов в Бельгии, Италии, Франции и других странах.</w:t>
      </w:r>
    </w:p>
    <w:p w:rsidR="00D74B38" w:rsidRDefault="00E16641">
      <w:pPr>
        <w:pStyle w:val="a3"/>
        <w:rPr>
          <w:sz w:val="24"/>
        </w:rPr>
      </w:pPr>
      <w:r>
        <w:rPr>
          <w:sz w:val="24"/>
        </w:rPr>
        <w:t>Сложность проблем возникающих при применении коллизионного способа регулирования, порождает серьезные, подчас непреодолимые, трудности в правовой регламентации гражданских правоотношений, осложненных иностранным элементом. Интересы развития международного гражданского оборота требуют совершенствования этого способа. С конца девятнадцатого века начался процесс унификации, т.е. создания единообразных коллизионных норм. Унификация осуществляется в форме международных договоров, заключаемых меду государствами. Последние берут на себя международно-правовое обязательство применять сформулированные в договоре единообразные коллизионные нормы по определенному кругу гражданских правоотношений. Использование унифицированных норм снимает частично недостатки коллизионного способа: способствует ликвидации такого негативного явления, как «коллизия коллизий», уменьшает вероятность возникновения «хромающих отношений», восполняет пробелы в национальном коллизионном праве.</w:t>
      </w:r>
    </w:p>
    <w:p w:rsidR="00D74B38" w:rsidRDefault="00E16641">
      <w:pPr>
        <w:pStyle w:val="a3"/>
        <w:rPr>
          <w:sz w:val="24"/>
        </w:rPr>
      </w:pPr>
      <w:r>
        <w:rPr>
          <w:sz w:val="24"/>
        </w:rPr>
        <w:t>Но унификация не получила большого распространения. Процесс унификации, начавшийся в конце девятнадцатого века, завершился принятием в 1902-1905 годах пяти конвенций, устанавливающих правила разрешения коллизий по ряду вопросов в сфере брачно-семейных отношений. Но они не получили широкого распространения: в них участвовали лишь некоторые европейские государства (Россия при активном участии в их разработке к ним не присоединилась), более того, в последствии число участвующих государств уменьшилось. Некоторые из них в 70-е годы были заменены новыми.</w:t>
      </w:r>
    </w:p>
    <w:p w:rsidR="00D74B38" w:rsidRDefault="00E16641">
      <w:pPr>
        <w:pStyle w:val="a3"/>
        <w:rPr>
          <w:sz w:val="24"/>
        </w:rPr>
      </w:pPr>
      <w:r>
        <w:rPr>
          <w:sz w:val="24"/>
        </w:rPr>
        <w:t>Другим соглашением, направленном на унификацию коллизионного права является Конвенция о праве, применимом к международной купле-продаже 1986, заменившая аналогичную конвенцию 1955 года.</w:t>
      </w:r>
    </w:p>
    <w:p w:rsidR="00D74B38" w:rsidRDefault="00E16641">
      <w:pPr>
        <w:pStyle w:val="a3"/>
        <w:rPr>
          <w:sz w:val="24"/>
        </w:rPr>
      </w:pPr>
      <w:r>
        <w:rPr>
          <w:sz w:val="24"/>
        </w:rPr>
        <w:t>Примером наиболее удачной унификации коллизионного права является региональная унификация, предпринятая латиноамериканскими странами. На шестой панамериканской конференции в 1928 году был принят договор, названый, Кодекс Бустаманте. По существу, это – единственная довольно полная унификация коллизионного права состоит из 437 статей. Правда, даже в своем регионе договор не получил всеобщего применения: его ратифицировали пятнадцать государств Центральной и Южной Америки. США к нему не присоединились.</w:t>
      </w:r>
    </w:p>
    <w:p w:rsidR="00D74B38" w:rsidRDefault="00E16641">
      <w:pPr>
        <w:pStyle w:val="a3"/>
        <w:rPr>
          <w:sz w:val="24"/>
        </w:rPr>
      </w:pPr>
      <w:r>
        <w:rPr>
          <w:sz w:val="24"/>
        </w:rPr>
        <w:t>Более широко унификация коллизионных норм происходит на двусторонней основе, как правило, в форме заключения договоров об оказании правовой помощи.</w:t>
      </w:r>
    </w:p>
    <w:p w:rsidR="00D74B38" w:rsidRDefault="00E16641">
      <w:pPr>
        <w:pStyle w:val="a3"/>
        <w:rPr>
          <w:sz w:val="24"/>
        </w:rPr>
      </w:pPr>
      <w:r>
        <w:rPr>
          <w:sz w:val="24"/>
        </w:rPr>
        <w:t>Таким образом, коллизионный способ регулирования в настоящее время осуществляется в двух правовых формах: национально-правовой (посредством национальных коллизионных норм, разработанных каждым государством в своем праве самостоятельно) и международно-правовой (посредством унифицированных коллизионных норм, разработанных государствами совместно в международных соглашениях). Обе формы относятся к одному способу регулирования  – коллизионному, так как в обоих случаях коллизия права решается способом выбора права, отсылки к праву конкретного государства.</w:t>
      </w:r>
    </w:p>
    <w:p w:rsidR="00D74B38" w:rsidRDefault="00E16641">
      <w:pPr>
        <w:pStyle w:val="a3"/>
        <w:rPr>
          <w:sz w:val="24"/>
        </w:rPr>
      </w:pPr>
      <w:r>
        <w:rPr>
          <w:sz w:val="24"/>
        </w:rPr>
        <w:t>Второй способ регулирования  гражданских отношений, осложненных иностранным элементом, – материально-правовой. Сущность его заключается в создании специальных норм гражданско-правового характера, которые должны непосредственно применяться к данным отношениям минуя  коллизионную стадию выбора права.</w:t>
      </w:r>
    </w:p>
    <w:p w:rsidR="00D74B38" w:rsidRDefault="00E16641">
      <w:pPr>
        <w:pStyle w:val="a3"/>
        <w:rPr>
          <w:sz w:val="24"/>
        </w:rPr>
      </w:pPr>
      <w:r>
        <w:rPr>
          <w:sz w:val="24"/>
        </w:rPr>
        <w:t>Ясно, что одной из причин возникновения коллизии, являются различия в содержании гражданского права разных государств. Из этого следует, что коллизионную проблему можно снять, если будут созданы и применяться единообразные, одинаковые по своему содержанию, гражданско-правовые нормы. Материально- правовой метод осуществляется посредством создания унифицированных (единообразных) материальных норм гражданского права, что снимает коллизионную проблему.</w:t>
      </w:r>
    </w:p>
    <w:p w:rsidR="00D74B38" w:rsidRDefault="00E16641">
      <w:pPr>
        <w:pStyle w:val="a3"/>
        <w:rPr>
          <w:sz w:val="24"/>
        </w:rPr>
      </w:pPr>
      <w:r>
        <w:rPr>
          <w:sz w:val="24"/>
        </w:rPr>
        <w:t>Обязательным условием унификации материального гражданского права как способа регулирования является использование международно-правовых форм (главным образом – международного договора). В процессе взаимодействия государств происходит взаимовлияние национальных правовых систем, в результате чего в гражданском праве разных государств встречаются одинаковые по содержанию правила. Встречаются и полные текстуальные совпадения законов разных стран. Например, гражданское право Франции и Бельгии: там действует кодекс Наполеона.</w:t>
      </w:r>
    </w:p>
    <w:p w:rsidR="00D74B38" w:rsidRDefault="00E16641">
      <w:pPr>
        <w:pStyle w:val="a3"/>
        <w:rPr>
          <w:sz w:val="24"/>
        </w:rPr>
      </w:pPr>
      <w:r>
        <w:rPr>
          <w:sz w:val="24"/>
        </w:rPr>
        <w:t>Однако никакое фактическое совпадение, даже значительное, в гражданском праве разных стран не исключает возможности возникновения между ними коллизий и необходимости выбора права: формально совпадающие нормы позитивного права получают разную интерпретацию в реальной юридической практике. Материально-правовой способ регулирования может осуществляться и в национально-правовой форме: государство в своем внутреннем праве устанавливает материальные гражданско-правовые нормы, специально предназначенные для регулирования гражданских правоотношений с иностранным элементом, Примером могут послужить нормы, регулирующие правовое положение субъектов международного гражданского оборота (иностранцев на территории России и российских граждан за рубежом).</w:t>
      </w:r>
    </w:p>
    <w:p w:rsidR="00D74B38" w:rsidRDefault="00E16641">
      <w:pPr>
        <w:pStyle w:val="a3"/>
        <w:rPr>
          <w:sz w:val="24"/>
        </w:rPr>
      </w:pPr>
      <w:r>
        <w:rPr>
          <w:sz w:val="24"/>
        </w:rPr>
        <w:t>Возможна и другая правовая форма унификации: принятие рядом государств так называемых примерных законов или иных рекомендаций, выработанных специально созданными для этого органами или же в порядке, заключения международного договора. Такой путь использовали скандинавские страны, входящие в Северный Совет, который дает рекомендации по вопросам сотрудничества входящих стран, в том числе в области правовой унификации. В дальнейшем рекомендации воспринимаются актами внутреннего законодательства. Унификация норм международного частного права может достигаться также посредством применения международных торговых обычаев, которые в отдельных сферах международного общения (торговое мореплавание, международные расчеты) получили широкое признание и использование. Созданию единого правового режима способствуют также рекомендуемые международными организациями, национальными торговыми палатами, промышленными и торговыми ассоциациями примерные договоры и  общие условия, которые отражают внешнеторговую практику.</w:t>
      </w:r>
    </w:p>
    <w:p w:rsidR="00D74B38" w:rsidRDefault="00E16641">
      <w:pPr>
        <w:pStyle w:val="a3"/>
        <w:rPr>
          <w:sz w:val="24"/>
        </w:rPr>
      </w:pPr>
      <w:r>
        <w:rPr>
          <w:sz w:val="24"/>
        </w:rPr>
        <w:t>Итак, международному частному праву присуще два способа регулирования: коллизионно-правовой, который осуществляется в двух правовых формах – национальной и международной, и, во-вторых, материально-правовой, осуществляемый в международно-правовой форме. Оба способа направлены на преодоление коллизионной проблемы, хотя и разными средствами. Они являются различным проявлением общего метода международного частного права. Оба способа взаимодействуют, дополняя друг друга.</w:t>
      </w:r>
    </w:p>
    <w:p w:rsidR="00D74B38" w:rsidRDefault="00E16641">
      <w:pPr>
        <w:numPr>
          <w:ilvl w:val="0"/>
          <w:numId w:val="3"/>
        </w:numPr>
        <w:tabs>
          <w:tab w:val="clear" w:pos="360"/>
          <w:tab w:val="num" w:pos="993"/>
        </w:tabs>
        <w:ind w:left="0" w:firstLine="567"/>
        <w:rPr>
          <w:i/>
          <w:sz w:val="24"/>
        </w:rPr>
      </w:pPr>
      <w:r>
        <w:rPr>
          <w:sz w:val="24"/>
        </w:rPr>
        <w:br w:type="page"/>
      </w:r>
      <w:r>
        <w:rPr>
          <w:i/>
          <w:sz w:val="24"/>
        </w:rPr>
        <w:t>Принцип «автономии воли».</w:t>
      </w:r>
    </w:p>
    <w:p w:rsidR="00D74B38" w:rsidRDefault="00D74B38">
      <w:pPr>
        <w:rPr>
          <w:sz w:val="24"/>
        </w:rPr>
      </w:pPr>
    </w:p>
    <w:p w:rsidR="00D74B38" w:rsidRDefault="00D74B38">
      <w:pPr>
        <w:rPr>
          <w:sz w:val="24"/>
        </w:rPr>
      </w:pPr>
    </w:p>
    <w:p w:rsidR="00D74B38" w:rsidRDefault="00D74B38">
      <w:pPr>
        <w:rPr>
          <w:sz w:val="24"/>
        </w:rPr>
      </w:pPr>
    </w:p>
    <w:p w:rsidR="00D74B38" w:rsidRDefault="00D74B38">
      <w:pPr>
        <w:rPr>
          <w:sz w:val="24"/>
        </w:rPr>
      </w:pPr>
    </w:p>
    <w:p w:rsidR="00D74B38" w:rsidRDefault="00D74B38">
      <w:pPr>
        <w:rPr>
          <w:sz w:val="24"/>
        </w:rPr>
      </w:pPr>
    </w:p>
    <w:p w:rsidR="00D74B38" w:rsidRDefault="00D74B38">
      <w:pPr>
        <w:rPr>
          <w:sz w:val="24"/>
        </w:rPr>
      </w:pPr>
    </w:p>
    <w:p w:rsidR="00D74B38" w:rsidRDefault="00E16641">
      <w:pPr>
        <w:pStyle w:val="a3"/>
        <w:rPr>
          <w:sz w:val="24"/>
        </w:rPr>
      </w:pPr>
      <w:r>
        <w:rPr>
          <w:sz w:val="24"/>
        </w:rPr>
        <w:t>В процессе осуществления торгово-экономических и иных международных связей между организациями и фирмами различных государств заключается большое число договоров, обычно именуемых контрактами. Место нахождения сторон, а также место заключения и исполнения этих договоров не совпадают, что требует определения права, подлежащего применению к такому договору с иностранным элементом или международным элементом.</w:t>
      </w:r>
    </w:p>
    <w:p w:rsidR="00D74B38" w:rsidRDefault="00E16641">
      <w:pPr>
        <w:pStyle w:val="a3"/>
        <w:rPr>
          <w:sz w:val="24"/>
        </w:rPr>
      </w:pPr>
      <w:r>
        <w:rPr>
          <w:sz w:val="24"/>
        </w:rPr>
        <w:t>Речь идет, прежде всего, о внешнеторговых сделках. К внешнеторговым сделкам российская доктрина относит сделки, в которых хотя бы одна из сторон является иностранным гражданином или иностранным юридическим лицом и содержанием которых являются операции по ввозу из-за границы товаров или по вывозу товаров за границу либо какие-нибудь подсобные операции, связанные с вывозом или ввозом товаров, а в качестве средства платежа используется валюта, которая является иностранной для обеих или по крайней мере для одной из сторон.</w:t>
      </w:r>
    </w:p>
    <w:p w:rsidR="00D74B38" w:rsidRDefault="00E16641">
      <w:pPr>
        <w:pStyle w:val="a3"/>
        <w:rPr>
          <w:sz w:val="24"/>
        </w:rPr>
      </w:pPr>
      <w:r>
        <w:rPr>
          <w:sz w:val="24"/>
        </w:rPr>
        <w:t>Итак, договоры купли-продажи товаров, а также договоры подряда, комиссии и некоторые другие договора, заключаемые между организациями и фирмами различных государств относятся к внешнеторговым сделкам. Договор внешнеторговой купли-продажи является наиболее распространенным видом внешнеторговых сделок.</w:t>
      </w:r>
    </w:p>
    <w:p w:rsidR="00D74B38" w:rsidRDefault="00E16641">
      <w:pPr>
        <w:pStyle w:val="a3"/>
        <w:rPr>
          <w:sz w:val="24"/>
        </w:rPr>
      </w:pPr>
      <w:r>
        <w:rPr>
          <w:sz w:val="24"/>
        </w:rPr>
        <w:t>В Венской конвенции о договорах международной купли-продажи товаров 1980 года говорится, что это договора, заключенные между сторонами, коммерческие предприятия, которые находятся на территории разных государств.</w:t>
      </w:r>
    </w:p>
    <w:p w:rsidR="00D74B38" w:rsidRDefault="00E16641">
      <w:pPr>
        <w:pStyle w:val="a3"/>
        <w:rPr>
          <w:sz w:val="24"/>
        </w:rPr>
      </w:pPr>
      <w:r>
        <w:rPr>
          <w:sz w:val="24"/>
        </w:rPr>
        <w:t>Традиционными являются сделки купли-продажи товаров в материальной форме. По таким сделкам продавец обязуется передать товар в собственность покупателя, а покупатель обязуется принять товар и уплатить за него определенную денежную сумму. Различаются сделки по экспорту и импорту товаров. В практике российских организаций часто встречаются различные виды товарообменных и компенсационных сделок на безвалютной основе. Бартерные сделки – один из видов таких сделок. Они предусматривают обмен согласованных количеств одного товара на другой. В подобном договоре называется количество взаимопоставляемых товаров, либо оговаривается сумма, на которую стороны обязуются поставить товары.</w:t>
      </w:r>
    </w:p>
    <w:p w:rsidR="00D74B38" w:rsidRDefault="00E16641">
      <w:pPr>
        <w:pStyle w:val="a3"/>
        <w:rPr>
          <w:sz w:val="24"/>
        </w:rPr>
      </w:pPr>
      <w:r>
        <w:rPr>
          <w:sz w:val="24"/>
        </w:rPr>
        <w:t>Сейчас все большее значение приобретают контракты по оказанию всякого рода услуг, проведению работ, лицензионные договоры об использовании об использовании изобретений и других научно-технических достижений, договоры инжиниринга, лизинга и другие. Все эти договоры представляют собой виды внешнеэкономических сделок.</w:t>
      </w:r>
    </w:p>
    <w:p w:rsidR="00D74B38" w:rsidRDefault="00E16641">
      <w:pPr>
        <w:pStyle w:val="a3"/>
        <w:rPr>
          <w:sz w:val="24"/>
        </w:rPr>
      </w:pPr>
      <w:r>
        <w:rPr>
          <w:sz w:val="24"/>
        </w:rPr>
        <w:t>В торговых отношениях России с рядом государств контракты заключаются во исполнение межправительственных соглашений о товарообороте, о предоставлении государственных кредитов для поставки товаров в Россию и другие. Заключение таких соглашений создает в отношениях между государствами взаимные обязательства осуществлять поставки по определенной номенклатуре и контингентам товаров. Примером может послужить Соглашение между Правительством РФ и Правительством КНР о государственном кредите для поставок товаров из КНР в Россию от 18 декабря 1992 года. В соответствии с условиями этого соглашения в счет кредита из КНР в РФ поставляются товары, предусмотренные перечнем, а погашение основного долга и уплата процентов по кредиту осуществляются поставками товаров, также определяемых соглашением. Конкретная номенклатура ежегодно поставляемых в КНР товаров будет согласовываться компетентными органами обеих стран за три месяца до начала года поставки товаров. Контракты на поставку товаров могут заключаться между российскими и китайскими компетентными органами. При заключении контрактов эти организации будут руководствоваться положениями соглашения. В соглашении, в частности, определено каким образом будут устанавливаться цены на товары.</w:t>
      </w:r>
    </w:p>
    <w:p w:rsidR="00D74B38" w:rsidRDefault="00E16641">
      <w:pPr>
        <w:pStyle w:val="a3"/>
        <w:rPr>
          <w:sz w:val="24"/>
        </w:rPr>
      </w:pPr>
      <w:r>
        <w:rPr>
          <w:sz w:val="24"/>
        </w:rPr>
        <w:t>Таким образом, в пределах, определяемых межправительственными соглашениями о товарообороте и уточняющими их ежегодными протоколами, эти соглашения создают в отношениях между государствами взаимные обязательства осуществлять поставки по определенной номенклатуре и контингентам товаров. Контракты, заключаемые между организациями этих стран, являются средством реализации межправительственных соглашений. После того как контракт заключен, права и обязанности, участвующих в нем организаций определяются контрактом. В этом смысле понимается юридическая самостоятельность каждого контракта. В то же время выполнение обязательств сторонами по контракту связано с содержанием межправительственных соглашений.</w:t>
      </w:r>
    </w:p>
    <w:p w:rsidR="00D74B38" w:rsidRDefault="00E16641">
      <w:pPr>
        <w:pStyle w:val="a3"/>
        <w:rPr>
          <w:sz w:val="24"/>
        </w:rPr>
      </w:pPr>
      <w:r>
        <w:rPr>
          <w:sz w:val="24"/>
        </w:rPr>
        <w:t>Однако соглашения не порождают автоматически гражданско-правовых обязательств. Такие обязательства возникнут только на основании контракта. После заключения контракта обязательства государства могут измениться. В межправительственное соглашение, на основе которого был заключен контракт, могут быть внесены изменения, в частности, предусматривающие уменьшение объема поставок, перенос поставки данного количества товара на другой плановый период и т.д. Такие изменения также не могут автоматически влиять на изменение контракта. Организации должны изменить свои контрактные обязательства в соответствии с изложенными обязательствами государств.</w:t>
      </w:r>
    </w:p>
    <w:p w:rsidR="00D74B38" w:rsidRDefault="00E16641">
      <w:pPr>
        <w:pStyle w:val="a3"/>
        <w:rPr>
          <w:sz w:val="24"/>
        </w:rPr>
      </w:pPr>
      <w:r>
        <w:rPr>
          <w:sz w:val="24"/>
        </w:rPr>
        <w:t>При заключении договора, стороны могут установить, каким законодательством он должен регулироваться. Стороны имеют право сделать выбор в силу автономии воли сторон. Эта автономия состоит в том, что стороны имеют право устанавливать по своему усмотрению содержание договора.</w:t>
      </w:r>
    </w:p>
    <w:p w:rsidR="00D74B38" w:rsidRDefault="00E16641">
      <w:pPr>
        <w:pStyle w:val="a3"/>
        <w:rPr>
          <w:sz w:val="24"/>
        </w:rPr>
      </w:pPr>
      <w:r>
        <w:rPr>
          <w:sz w:val="24"/>
        </w:rPr>
        <w:t>Автономия воли сторон обычно признается в законодательстве различных государств. Но допустимые пределы автономии воли сторон понимаются в законодательстве разных стран по-разному. В одних странах она ничем не ограничивается. Это означает, что стороны, заключив сделку, могут подчинить ее любой правовой системе. В других странах действует принцип локализации договора. Это значит, что стороны могут свободно избрать право, но только такое, какое связано с данной сделкой. Однако  в сделках купли-продажи товаров выбор закона самими сторонами встречается нечасто. При отсутствии прямо выраженной воли сторон при определении права, подлежащего применению в сделке, у суда или арбитража создаются большие возможности свободы усмотрения при толковании предполагаемой воли сторон. В Англии судебная практика идет в таких случаях по пути отыскания права, свойственного данному договору, применяя метод локализации договора. То есть суд должен избрать закон так, как это сделали бы справедливые и разумные люди, если бы они подумали об этом при заключении договора.</w:t>
      </w:r>
    </w:p>
    <w:p w:rsidR="00D74B38" w:rsidRDefault="00E16641">
      <w:pPr>
        <w:pStyle w:val="a3"/>
        <w:rPr>
          <w:sz w:val="24"/>
        </w:rPr>
      </w:pPr>
      <w:r>
        <w:rPr>
          <w:sz w:val="24"/>
        </w:rPr>
        <w:t>По этому же пути идет и США. Согласно правилам Единообразного торгового кодекса США 1990 года, в случаях, когда сделка имеет разумную связь, как с данным, так и с другим штатом или государством, стороны вправе согласиться о том, что их права и обязанности будут определяться по праву либо данного, либо другого штата государства. При отсутствии такого соглашения торговый кодекс применяется к сделкам, имеющим надлежащую связь со штатом.</w:t>
      </w:r>
    </w:p>
    <w:p w:rsidR="00D74B38" w:rsidRDefault="00E16641">
      <w:pPr>
        <w:pStyle w:val="a3"/>
        <w:rPr>
          <w:sz w:val="24"/>
        </w:rPr>
      </w:pPr>
      <w:r>
        <w:rPr>
          <w:sz w:val="24"/>
        </w:rPr>
        <w:t>Из принципа автономии воли исходит и ст. 27 германского Закона о новом регулировании международного частного права 1986 года. Если стороны в договоре такой выбор не отразят, подлежит применению право государства, с которым договор связан наиболее тесным образом.</w:t>
      </w:r>
    </w:p>
    <w:p w:rsidR="00D74B38" w:rsidRDefault="00E16641">
      <w:pPr>
        <w:pStyle w:val="a3"/>
        <w:rPr>
          <w:sz w:val="24"/>
        </w:rPr>
      </w:pPr>
      <w:r>
        <w:rPr>
          <w:sz w:val="24"/>
        </w:rPr>
        <w:t>Общее ограничение сторонами выбора права заключается в том, что при помощи такого выбора нельзя исключить применение императивных норм, подлежащих применению к соответствующим правоотношениям, а также нельзя исключить применение норм права, в большей степени отвечающих интересам потребителя или работника (если это трудовой договор).</w:t>
      </w:r>
    </w:p>
    <w:p w:rsidR="00D74B38" w:rsidRDefault="00E16641">
      <w:pPr>
        <w:pStyle w:val="a3"/>
        <w:rPr>
          <w:sz w:val="24"/>
        </w:rPr>
      </w:pPr>
      <w:r>
        <w:rPr>
          <w:sz w:val="24"/>
        </w:rPr>
        <w:t>Касаемо ограничения свободы выбора права можно привести пример.</w:t>
      </w:r>
    </w:p>
    <w:p w:rsidR="00D74B38" w:rsidRDefault="00E16641">
      <w:pPr>
        <w:pStyle w:val="a3"/>
        <w:rPr>
          <w:sz w:val="24"/>
        </w:rPr>
      </w:pPr>
      <w:r>
        <w:rPr>
          <w:sz w:val="24"/>
        </w:rPr>
        <w:t>Польское предприятие – истец предъявило к советскому внешнеторговому предприятию иск о взыскании, в частности, штрафа за несвоевременную передачу технической и проектно-сметной документации и несвоевременную передачу стройплощадки. Истец утверждал, что в данном деле применима ст. 79 действовавшего в то время ГК РСФСР, устанавливавшая 6-ти месячный срок давности. В принятом решении арбитражный суд отметил, что правовой принцип об обязательности для сторон при выборе ими применимого права императивных национальных норм воспринят не только советским правом и законодательством ряда других стран, например ФРГ и Швейцарии; он отражен также в международных соглашениях. Так в ст.4 Единообразного закона о международной купле-продаже товаров (Гаагская конвенция от 1 июля 1964 года) указывается, что стороны вправе избрать этот закон как закон договора, однако это не должно наносить ущерб императивным нормам, которые подлежали бы применению, если бы стороны не избрали единый закон. Исходя из этого и сославшись на действовавшее тогда законодательство, предусматривавшее 6-ти месячный срок исковой давности, арбитраж отказал в иске ввиду пропуска указанного срока.</w:t>
      </w:r>
    </w:p>
    <w:p w:rsidR="00D74B38" w:rsidRDefault="00E16641">
      <w:pPr>
        <w:pStyle w:val="a3"/>
        <w:rPr>
          <w:sz w:val="24"/>
        </w:rPr>
      </w:pPr>
      <w:r>
        <w:rPr>
          <w:sz w:val="24"/>
        </w:rPr>
        <w:t>По правилам, установленным законодательством КНР, стороны могут определить право, подлежащее применению к договору, поскольку закон не устанавливает иного. Если сторонами такой выбор не сделан, подлежит применению право страны, с которой договор связан наибольшим образом.</w:t>
      </w:r>
    </w:p>
    <w:p w:rsidR="00D74B38" w:rsidRDefault="00E16641">
      <w:pPr>
        <w:pStyle w:val="a3"/>
        <w:rPr>
          <w:sz w:val="24"/>
        </w:rPr>
      </w:pPr>
      <w:r>
        <w:rPr>
          <w:sz w:val="24"/>
        </w:rPr>
        <w:t>В законодательстве ряда государств в тех случаях, когда воля сторон в сделке вообще не была выражена, применяется принцип закона места совершения контракта. Однако в условиях развития современных технических средств связи применение этого принципа вызывает большие затруднения, поскольку в области международной торговли значительная часть сделок заключается путем переписки, то есть в форме сделок между «отсутствующими». Местом заключения договора при этом считается тот пункт, где произошло последнее действие, необходимое для того, чтобы признать сделку совершенной.</w:t>
      </w:r>
    </w:p>
    <w:p w:rsidR="00D74B38" w:rsidRDefault="00E16641">
      <w:pPr>
        <w:pStyle w:val="a3"/>
        <w:rPr>
          <w:sz w:val="24"/>
        </w:rPr>
      </w:pPr>
      <w:r>
        <w:rPr>
          <w:sz w:val="24"/>
        </w:rPr>
        <w:t>Вопрос о том, где именно произошло последнее действие, решается в различных странах неодинаково. Например, по праву Великобритании, США, Японии сделка считается совершенной в момент и в месте, откуда отправлен акцепт (так называемая теория «почтового ящика»), то есть согласие на полученную оферту, а по праву большинства других стран, в том числе и России, сделка считается совершенной в момент и в месте получения акцепта оферентом.</w:t>
      </w:r>
    </w:p>
    <w:p w:rsidR="00D74B38" w:rsidRDefault="00E16641">
      <w:pPr>
        <w:pStyle w:val="a3"/>
        <w:rPr>
          <w:sz w:val="24"/>
        </w:rPr>
      </w:pPr>
      <w:r>
        <w:rPr>
          <w:sz w:val="24"/>
        </w:rPr>
        <w:br w:type="page"/>
      </w:r>
    </w:p>
    <w:p w:rsidR="00D74B38" w:rsidRDefault="00D74B38">
      <w:pPr>
        <w:pStyle w:val="a3"/>
        <w:rPr>
          <w:b/>
          <w:sz w:val="28"/>
        </w:rPr>
      </w:pPr>
    </w:p>
    <w:p w:rsidR="00D74B38" w:rsidRDefault="00E16641">
      <w:pPr>
        <w:pStyle w:val="a3"/>
        <w:rPr>
          <w:sz w:val="24"/>
        </w:rPr>
      </w:pPr>
      <w:r>
        <w:rPr>
          <w:b/>
          <w:sz w:val="28"/>
        </w:rPr>
        <w:t>Список литературы:</w:t>
      </w:r>
    </w:p>
    <w:p w:rsidR="00D74B38" w:rsidRDefault="00D74B38">
      <w:pPr>
        <w:pStyle w:val="a3"/>
        <w:rPr>
          <w:sz w:val="24"/>
        </w:rPr>
      </w:pPr>
    </w:p>
    <w:p w:rsidR="00D74B38" w:rsidRDefault="00E16641">
      <w:pPr>
        <w:pStyle w:val="a3"/>
        <w:numPr>
          <w:ilvl w:val="0"/>
          <w:numId w:val="8"/>
        </w:numPr>
        <w:tabs>
          <w:tab w:val="clear" w:pos="360"/>
          <w:tab w:val="num" w:pos="927"/>
        </w:tabs>
        <w:ind w:left="927"/>
        <w:rPr>
          <w:sz w:val="24"/>
        </w:rPr>
      </w:pPr>
      <w:r>
        <w:rPr>
          <w:sz w:val="24"/>
        </w:rPr>
        <w:t>Гражданский кодекс Российской Федерации</w:t>
      </w:r>
    </w:p>
    <w:p w:rsidR="00D74B38" w:rsidRDefault="00E16641">
      <w:pPr>
        <w:pStyle w:val="a3"/>
        <w:numPr>
          <w:ilvl w:val="0"/>
          <w:numId w:val="8"/>
        </w:numPr>
        <w:tabs>
          <w:tab w:val="clear" w:pos="360"/>
          <w:tab w:val="num" w:pos="927"/>
        </w:tabs>
        <w:ind w:left="927"/>
        <w:rPr>
          <w:sz w:val="24"/>
        </w:rPr>
      </w:pPr>
      <w:r>
        <w:rPr>
          <w:sz w:val="24"/>
        </w:rPr>
        <w:t>«Международное частное право в документах». т. 1 финансы. Валюта. Налоги. К.А. Бекяшев, А.Г. Ходаков, М.: Юрист,1996 г.</w:t>
      </w:r>
    </w:p>
    <w:p w:rsidR="00D74B38" w:rsidRDefault="00E16641">
      <w:pPr>
        <w:pStyle w:val="a3"/>
        <w:numPr>
          <w:ilvl w:val="0"/>
          <w:numId w:val="8"/>
        </w:numPr>
        <w:tabs>
          <w:tab w:val="clear" w:pos="360"/>
          <w:tab w:val="num" w:pos="927"/>
        </w:tabs>
        <w:ind w:left="927"/>
        <w:rPr>
          <w:sz w:val="24"/>
        </w:rPr>
      </w:pPr>
      <w:r>
        <w:rPr>
          <w:sz w:val="24"/>
        </w:rPr>
        <w:t>«Международное частное право» под редакцией Дмитриевой Г.К. М.: Юрист, 1993</w:t>
      </w:r>
    </w:p>
    <w:p w:rsidR="00D74B38" w:rsidRDefault="00E16641">
      <w:pPr>
        <w:pStyle w:val="a3"/>
        <w:numPr>
          <w:ilvl w:val="0"/>
          <w:numId w:val="8"/>
        </w:numPr>
        <w:tabs>
          <w:tab w:val="clear" w:pos="360"/>
          <w:tab w:val="num" w:pos="927"/>
        </w:tabs>
        <w:ind w:left="927"/>
        <w:rPr>
          <w:sz w:val="24"/>
        </w:rPr>
      </w:pPr>
      <w:r>
        <w:rPr>
          <w:sz w:val="24"/>
        </w:rPr>
        <w:t>Богуславский М.М. Международное частное право, учебник М.: Международные отношения, 1997</w:t>
      </w:r>
    </w:p>
    <w:p w:rsidR="00D74B38" w:rsidRDefault="00E16641">
      <w:pPr>
        <w:pStyle w:val="a3"/>
        <w:numPr>
          <w:ilvl w:val="0"/>
          <w:numId w:val="8"/>
        </w:numPr>
        <w:tabs>
          <w:tab w:val="clear" w:pos="360"/>
          <w:tab w:val="num" w:pos="927"/>
        </w:tabs>
        <w:ind w:left="927"/>
        <w:rPr>
          <w:sz w:val="24"/>
        </w:rPr>
      </w:pPr>
      <w:r>
        <w:rPr>
          <w:sz w:val="24"/>
        </w:rPr>
        <w:t>Садиков О.Н. Международное частное право, учебник М.: «Юридическая литература» 1984 г.</w:t>
      </w:r>
      <w:bookmarkStart w:id="0" w:name="_GoBack"/>
      <w:bookmarkEnd w:id="0"/>
    </w:p>
    <w:sectPr w:rsidR="00D74B38">
      <w:headerReference w:type="default" r:id="rId7"/>
      <w:footerReference w:type="default" r:id="rId8"/>
      <w:pgSz w:w="11906" w:h="16838" w:code="9"/>
      <w:pgMar w:top="1134" w:right="1418" w:bottom="1440" w:left="1985" w:header="720"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B38" w:rsidRDefault="00E16641">
      <w:r>
        <w:separator/>
      </w:r>
    </w:p>
  </w:endnote>
  <w:endnote w:type="continuationSeparator" w:id="0">
    <w:p w:rsidR="00D74B38" w:rsidRDefault="00E1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38" w:rsidRDefault="00E16641">
    <w:pPr>
      <w:pStyle w:val="a5"/>
      <w:pBdr>
        <w:top w:val="double" w:sz="6" w:space="1" w:color="auto"/>
      </w:pBdr>
      <w:jc w:val="right"/>
    </w:pPr>
    <w:r>
      <w:rPr>
        <w:snapToGrid w:val="0"/>
      </w:rPr>
      <w:t xml:space="preserve">страница </w:t>
    </w:r>
    <w:r>
      <w:rPr>
        <w:snapToGrid w:val="0"/>
      </w:rPr>
      <w:fldChar w:fldCharType="begin"/>
    </w:r>
    <w:r>
      <w:rPr>
        <w:snapToGrid w:val="0"/>
      </w:rPr>
      <w:instrText xml:space="preserve"> PAGE </w:instrText>
    </w:r>
    <w:r>
      <w:rPr>
        <w:snapToGrid w:val="0"/>
      </w:rPr>
      <w:fldChar w:fldCharType="separate"/>
    </w:r>
    <w:r>
      <w:rPr>
        <w:noProof/>
        <w:snapToGrid w:val="0"/>
      </w:rPr>
      <w:t>12</w:t>
    </w:r>
    <w:r>
      <w:rPr>
        <w:snapToGrid w:val="0"/>
      </w:rPr>
      <w:fldChar w:fldCharType="end"/>
    </w:r>
    <w:r>
      <w:rPr>
        <w:snapToGrid w:val="0"/>
      </w:rPr>
      <w:t xml:space="preserve"> из </w:t>
    </w:r>
    <w:r>
      <w:rPr>
        <w:snapToGrid w:val="0"/>
      </w:rPr>
      <w:fldChar w:fldCharType="begin"/>
    </w:r>
    <w:r>
      <w:rPr>
        <w:snapToGrid w:val="0"/>
      </w:rPr>
      <w:instrText xml:space="preserve"> NUMPAGES </w:instrText>
    </w:r>
    <w:r>
      <w:rPr>
        <w:snapToGrid w:val="0"/>
      </w:rPr>
      <w:fldChar w:fldCharType="separate"/>
    </w:r>
    <w:r>
      <w:rPr>
        <w:noProof/>
        <w:snapToGrid w:val="0"/>
      </w:rPr>
      <w:t>12</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B38" w:rsidRDefault="00E16641">
      <w:r>
        <w:separator/>
      </w:r>
    </w:p>
  </w:footnote>
  <w:footnote w:type="continuationSeparator" w:id="0">
    <w:p w:rsidR="00D74B38" w:rsidRDefault="00E16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38" w:rsidRDefault="00D74B38">
    <w:pPr>
      <w:pStyle w:val="a4"/>
      <w:pBdr>
        <w:top w:val="double" w:sz="6"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5460F"/>
    <w:multiLevelType w:val="singleLevel"/>
    <w:tmpl w:val="DFAC4366"/>
    <w:lvl w:ilvl="0">
      <w:start w:val="1"/>
      <w:numFmt w:val="decimal"/>
      <w:lvlText w:val="%1."/>
      <w:lvlJc w:val="left"/>
      <w:pPr>
        <w:tabs>
          <w:tab w:val="num" w:pos="360"/>
        </w:tabs>
        <w:ind w:left="360" w:hanging="360"/>
      </w:pPr>
    </w:lvl>
  </w:abstractNum>
  <w:abstractNum w:abstractNumId="1">
    <w:nsid w:val="20102C1B"/>
    <w:multiLevelType w:val="singleLevel"/>
    <w:tmpl w:val="DFAC4366"/>
    <w:lvl w:ilvl="0">
      <w:start w:val="1"/>
      <w:numFmt w:val="decimal"/>
      <w:lvlText w:val="%1."/>
      <w:lvlJc w:val="left"/>
      <w:pPr>
        <w:tabs>
          <w:tab w:val="num" w:pos="360"/>
        </w:tabs>
        <w:ind w:left="360" w:hanging="360"/>
      </w:pPr>
    </w:lvl>
  </w:abstractNum>
  <w:abstractNum w:abstractNumId="2">
    <w:nsid w:val="382D60EE"/>
    <w:multiLevelType w:val="singleLevel"/>
    <w:tmpl w:val="DFAC4366"/>
    <w:lvl w:ilvl="0">
      <w:start w:val="1"/>
      <w:numFmt w:val="decimal"/>
      <w:lvlText w:val="%1."/>
      <w:lvlJc w:val="left"/>
      <w:pPr>
        <w:tabs>
          <w:tab w:val="num" w:pos="360"/>
        </w:tabs>
        <w:ind w:left="360" w:hanging="360"/>
      </w:pPr>
    </w:lvl>
  </w:abstractNum>
  <w:abstractNum w:abstractNumId="3">
    <w:nsid w:val="43E6166A"/>
    <w:multiLevelType w:val="singleLevel"/>
    <w:tmpl w:val="DFAC4366"/>
    <w:lvl w:ilvl="0">
      <w:start w:val="1"/>
      <w:numFmt w:val="decimal"/>
      <w:lvlText w:val="%1."/>
      <w:lvlJc w:val="left"/>
      <w:pPr>
        <w:tabs>
          <w:tab w:val="num" w:pos="360"/>
        </w:tabs>
        <w:ind w:left="360" w:hanging="360"/>
      </w:pPr>
    </w:lvl>
  </w:abstractNum>
  <w:abstractNum w:abstractNumId="4">
    <w:nsid w:val="6E03468B"/>
    <w:multiLevelType w:val="singleLevel"/>
    <w:tmpl w:val="0419000F"/>
    <w:lvl w:ilvl="0">
      <w:start w:val="1"/>
      <w:numFmt w:val="decimal"/>
      <w:lvlText w:val="%1."/>
      <w:lvlJc w:val="left"/>
      <w:pPr>
        <w:tabs>
          <w:tab w:val="num" w:pos="360"/>
        </w:tabs>
        <w:ind w:left="360" w:hanging="360"/>
      </w:pPr>
    </w:lvl>
  </w:abstractNum>
  <w:abstractNum w:abstractNumId="5">
    <w:nsid w:val="6EE066A8"/>
    <w:multiLevelType w:val="singleLevel"/>
    <w:tmpl w:val="17321A5E"/>
    <w:lvl w:ilvl="0">
      <w:start w:val="1"/>
      <w:numFmt w:val="decimal"/>
      <w:lvlText w:val="%1."/>
      <w:lvlJc w:val="left"/>
      <w:pPr>
        <w:tabs>
          <w:tab w:val="num" w:pos="360"/>
        </w:tabs>
        <w:ind w:left="360" w:hanging="360"/>
      </w:pPr>
    </w:lvl>
  </w:abstractNum>
  <w:abstractNum w:abstractNumId="6">
    <w:nsid w:val="79DE0311"/>
    <w:multiLevelType w:val="singleLevel"/>
    <w:tmpl w:val="DFAC4366"/>
    <w:lvl w:ilvl="0">
      <w:start w:val="1"/>
      <w:numFmt w:val="decimal"/>
      <w:lvlText w:val="%1."/>
      <w:lvlJc w:val="left"/>
      <w:pPr>
        <w:tabs>
          <w:tab w:val="num" w:pos="360"/>
        </w:tabs>
        <w:ind w:left="360" w:hanging="360"/>
      </w:pPr>
    </w:lvl>
  </w:abstractNum>
  <w:abstractNum w:abstractNumId="7">
    <w:nsid w:val="7E9621AB"/>
    <w:multiLevelType w:val="singleLevel"/>
    <w:tmpl w:val="FE3857E4"/>
    <w:lvl w:ilvl="0">
      <w:start w:val="2"/>
      <w:numFmt w:val="decimal"/>
      <w:lvlText w:val="%1."/>
      <w:lvlJc w:val="left"/>
      <w:pPr>
        <w:tabs>
          <w:tab w:val="num" w:pos="360"/>
        </w:tabs>
        <w:ind w:left="360" w:hanging="360"/>
      </w:pPr>
    </w:lvl>
  </w:abstractNum>
  <w:num w:numId="1">
    <w:abstractNumId w:val="7"/>
  </w:num>
  <w:num w:numId="2">
    <w:abstractNumId w:val="5"/>
  </w:num>
  <w:num w:numId="3">
    <w:abstractNumId w:val="0"/>
  </w:num>
  <w:num w:numId="4">
    <w:abstractNumId w:val="6"/>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641"/>
    <w:rsid w:val="005925CA"/>
    <w:rsid w:val="00D74B38"/>
    <w:rsid w:val="00E16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721B25-B387-460B-85E4-F990B570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spacing w:line="480" w:lineRule="auto"/>
      <w:jc w:val="center"/>
      <w:outlineLvl w:val="1"/>
    </w:pPr>
    <w:rPr>
      <w:i/>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4745</Words>
  <Characters>27049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Международное Частное Право</vt:lpstr>
    </vt:vector>
  </TitlesOfParts>
  <Company/>
  <LinksUpToDate>false</LinksUpToDate>
  <CharactersWithSpaces>31731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Международное Частное Право</dc:title>
  <dc:subject/>
  <dc:creator>Ганина Светлана Юрьевна</dc:creator>
  <cp:keywords/>
  <cp:lastModifiedBy>admin</cp:lastModifiedBy>
  <cp:revision>2</cp:revision>
  <cp:lastPrinted>1998-10-07T12:24:00Z</cp:lastPrinted>
  <dcterms:created xsi:type="dcterms:W3CDTF">2014-02-07T09:42:00Z</dcterms:created>
  <dcterms:modified xsi:type="dcterms:W3CDTF">2014-02-07T09:42:00Z</dcterms:modified>
</cp:coreProperties>
</file>