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6A" w:rsidRDefault="00231892">
      <w:pPr>
        <w:pStyle w:val="1"/>
        <w:jc w:val="center"/>
      </w:pPr>
      <w:r>
        <w:t>Новая концепция изучения и оценки физического здоровья взрослого населения</w:t>
      </w:r>
    </w:p>
    <w:p w:rsidR="008A4A6A" w:rsidRPr="00231892" w:rsidRDefault="00231892">
      <w:pPr>
        <w:pStyle w:val="a3"/>
      </w:pPr>
      <w:r>
        <w:t> </w:t>
      </w:r>
    </w:p>
    <w:p w:rsidR="008A4A6A" w:rsidRDefault="00231892">
      <w:pPr>
        <w:pStyle w:val="a3"/>
      </w:pPr>
      <w:r>
        <w:t>А.Г.Швецов, Д.А.Швецов</w:t>
      </w:r>
    </w:p>
    <w:p w:rsidR="008A4A6A" w:rsidRDefault="00231892">
      <w:pPr>
        <w:pStyle w:val="a3"/>
      </w:pPr>
      <w:r>
        <w:t>Институт медицинского образования НовГУ</w:t>
      </w:r>
    </w:p>
    <w:p w:rsidR="008A4A6A" w:rsidRDefault="00231892">
      <w:pPr>
        <w:pStyle w:val="a3"/>
      </w:pPr>
      <w:r>
        <w:t>Здоровый человек — это не обязательно тот, у которого все органы и системы «здоровы», т. е. не имеют отклонений от нормы, а тот, который благодаря высокой самоорганизации имеет возможность без ограничений выполнять свои биологические и социальные функции. И чем эффективнее выполнение этих функций, тем уровень здоровья выше. Поэтому сохранный уровень адаптационных возможностей индивидуума может стать критерием оценки уровня его здоровья [1-3].</w:t>
      </w:r>
    </w:p>
    <w:p w:rsidR="008A4A6A" w:rsidRDefault="00231892">
      <w:pPr>
        <w:pStyle w:val="a3"/>
      </w:pPr>
      <w:r>
        <w:t>Нами разработана четырехэтапная «скрининговая» схема проведения медицинского осмотра с использованием персонифицированных баз данных обследуемого населения и компьютерной программы АКДО-В [4]. В качестве критериев физического здоровья индивидуума мы предложили использовать:</w:t>
      </w:r>
    </w:p>
    <w:p w:rsidR="008A4A6A" w:rsidRDefault="00231892">
      <w:pPr>
        <w:pStyle w:val="a3"/>
      </w:pPr>
      <w:r>
        <w:t>уровень компенсации соматической патологии;</w:t>
      </w:r>
    </w:p>
    <w:p w:rsidR="008A4A6A" w:rsidRDefault="00231892">
      <w:pPr>
        <w:pStyle w:val="a3"/>
      </w:pPr>
      <w:r>
        <w:t>уровень неспецифической иммунорезистентности организма;</w:t>
      </w:r>
    </w:p>
    <w:p w:rsidR="008A4A6A" w:rsidRDefault="00231892">
      <w:pPr>
        <w:pStyle w:val="a3"/>
      </w:pPr>
      <w:r>
        <w:t>уровень функциональных адаптационных резервов организма.</w:t>
      </w:r>
    </w:p>
    <w:p w:rsidR="008A4A6A" w:rsidRDefault="00231892">
      <w:pPr>
        <w:pStyle w:val="a3"/>
      </w:pPr>
      <w:r>
        <w:t>Компенсация как физиологическое явление есть не что иное как адаптационный процесс, который приводит к биологически новому достигнутому состоянию, обеспечивающему полноценное, результативное участие органа (системы) в поддержании гомеостаза, при условии различного напряжения адаптационных механизмов [5].</w:t>
      </w:r>
    </w:p>
    <w:p w:rsidR="008A4A6A" w:rsidRDefault="00231892">
      <w:pPr>
        <w:pStyle w:val="a3"/>
      </w:pPr>
      <w:r>
        <w:t>Оценка уровня компенсации соматической патологии базируется на критериях напряжения адаптационных систем, разработанных Р.М.Баевским и соавт. [5].</w:t>
      </w:r>
    </w:p>
    <w:p w:rsidR="008A4A6A" w:rsidRDefault="00231892">
      <w:pPr>
        <w:pStyle w:val="a3"/>
      </w:pPr>
      <w:r>
        <w:t>I уровень характеризуется незначительным напряжением адаптации, отражающим состояние полного здоровья; регуляторный механизм работает в режиме контроля, т. е. воспринимает информацию о состоянии регулируемых систем, не вмешиваясь в их работу — 8 баллов;</w:t>
      </w:r>
    </w:p>
    <w:p w:rsidR="008A4A6A" w:rsidRDefault="00231892">
      <w:pPr>
        <w:pStyle w:val="a3"/>
      </w:pPr>
      <w:r>
        <w:t>уровень характеризуется существенным напряжением адаптации (режим регуляции), когда система обеспечивает мобилизацию функциональных резервов в самом патологически измененном органе (системе) для компенсации нарушенного режима ее работы — 5 баллов;</w:t>
      </w:r>
    </w:p>
    <w:p w:rsidR="008A4A6A" w:rsidRDefault="00231892">
      <w:pPr>
        <w:pStyle w:val="a3"/>
      </w:pPr>
      <w:r>
        <w:t>уровень характеризуется выраженным напряжением адаптации (режим управления), когда система регуляции мобилизует стратегические резервы за счет привлечения функциональных возможностей других, связанных с ней, систем жизнеобеспечения — 3 балла;</w:t>
      </w:r>
    </w:p>
    <w:p w:rsidR="008A4A6A" w:rsidRDefault="00231892">
      <w:pPr>
        <w:pStyle w:val="a3"/>
      </w:pPr>
      <w:r>
        <w:t>уровень характеризуется высоким, граничащим со срывом, напряжением адаптации с нарушением механизмов компенсации — 0 баллов.</w:t>
      </w:r>
    </w:p>
    <w:p w:rsidR="008A4A6A" w:rsidRDefault="00231892">
      <w:pPr>
        <w:pStyle w:val="a3"/>
      </w:pPr>
      <w:r>
        <w:t>Выход за пределы «биосоциального бюджета» ведет к поломке адаптационного механизма (срыв адаптации) и именно он является истинным выразителем понятия «болезни».</w:t>
      </w:r>
    </w:p>
    <w:p w:rsidR="008A4A6A" w:rsidRDefault="00231892">
      <w:pPr>
        <w:pStyle w:val="a3"/>
      </w:pPr>
      <w:r>
        <w:t>Оценка уровня неспецифической иммунорезистентности организма проводится на основе анализа частоты и длительности у индивидуума острых заболеваний простудной этиологии в течение года, предшествующего осмотру, с использованием следующей градации:</w:t>
      </w:r>
    </w:p>
    <w:p w:rsidR="008A4A6A" w:rsidRDefault="00231892">
      <w:pPr>
        <w:pStyle w:val="a3"/>
      </w:pPr>
      <w:r>
        <w:t>«ни разу не болевшие» — 10 баллов;</w:t>
      </w:r>
    </w:p>
    <w:p w:rsidR="008A4A6A" w:rsidRDefault="00231892">
      <w:pPr>
        <w:pStyle w:val="a3"/>
      </w:pPr>
      <w:r>
        <w:t>«эпизодически болевшие» (1-3 раза в году) — 6 баллов;</w:t>
      </w:r>
    </w:p>
    <w:p w:rsidR="008A4A6A" w:rsidRDefault="00231892">
      <w:pPr>
        <w:pStyle w:val="a3"/>
      </w:pPr>
      <w:r>
        <w:t>«часто» и «длительно» болевшие (4 и более раз или более 70 дней в году) — 3 балла.</w:t>
      </w:r>
    </w:p>
    <w:p w:rsidR="008A4A6A" w:rsidRDefault="00231892">
      <w:pPr>
        <w:pStyle w:val="a3"/>
      </w:pPr>
      <w:r>
        <w:t>Оценка уровня функциональной адаптации организма производится по предложенному нами индексу физического состояния (ИФС), отражающему степень заинтересованного участия в формировании общебиологического феномена функциональной адаптации организма сердечнососудистой и дыхательной систем, играющих в нем ведущую роль [6].</w:t>
      </w:r>
    </w:p>
    <w:p w:rsidR="008A4A6A" w:rsidRDefault="00231892">
      <w:pPr>
        <w:pStyle w:val="a3"/>
      </w:pPr>
      <w:r>
        <w:t>ИФС рассчитывается на основании стандартизированного объема соматометрических (рост, вес) и физиометрических (АД, ЧП, ЖЕЛ) исследований, входящих в программу массового профилактического медицинского осмотра населения, с использованием системы индексов и уравнений регрессии, в автоматизированном режиме комплекса АКДО-В.</w:t>
      </w:r>
    </w:p>
    <w:p w:rsidR="008A4A6A" w:rsidRDefault="00231892">
      <w:pPr>
        <w:pStyle w:val="a3"/>
      </w:pPr>
      <w:r>
        <w:t>В соответствии с рассмотренными критериями мы выделяем четыре уровня физического здоровья индивидуума, оцениваемые суммой баллов по рассматриваемым показателям:</w:t>
      </w:r>
    </w:p>
    <w:p w:rsidR="008A4A6A" w:rsidRDefault="00231892">
      <w:pPr>
        <w:pStyle w:val="a3"/>
      </w:pPr>
      <w:r>
        <w:t>I уровень здоровья — ВЫСОКИИ — отражает состояние полной биологической адаптации организма — 28-25 баллов;</w:t>
      </w:r>
    </w:p>
    <w:p w:rsidR="008A4A6A" w:rsidRDefault="00231892">
      <w:pPr>
        <w:pStyle w:val="a3"/>
      </w:pPr>
      <w:r>
        <w:t>II уровень здоровья — НОРМАЛЬНЫЙ — отражает достаточно высокий уровень биологической адаптации — 24-18 баллов;</w:t>
      </w:r>
    </w:p>
    <w:p w:rsidR="008A4A6A" w:rsidRDefault="00231892">
      <w:pPr>
        <w:pStyle w:val="a3"/>
      </w:pPr>
      <w:r>
        <w:t>III уровень здоровья — СНИЖЕННЫЙ — отражает сниженный уровень биологической адаптации организма — 17-13 баллов;</w:t>
      </w:r>
    </w:p>
    <w:p w:rsidR="008A4A6A" w:rsidRDefault="00231892">
      <w:pPr>
        <w:pStyle w:val="a3"/>
      </w:pPr>
      <w:r>
        <w:t>IV уровень здоровья — НИЗКИЙ — отражает низкий (субкомпенсационный) уровень биологической адаптации организма — 12 и менее баллов.</w:t>
      </w:r>
    </w:p>
    <w:p w:rsidR="008A4A6A" w:rsidRDefault="00231892">
      <w:pPr>
        <w:pStyle w:val="a3"/>
      </w:pPr>
      <w:r>
        <w:t>Таблица 3</w:t>
      </w:r>
    </w:p>
    <w:p w:rsidR="008A4A6A" w:rsidRDefault="00231892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0"/>
        <w:gridCol w:w="120"/>
        <w:gridCol w:w="120"/>
        <w:gridCol w:w="120"/>
        <w:gridCol w:w="480"/>
        <w:gridCol w:w="480"/>
        <w:gridCol w:w="480"/>
        <w:gridCol w:w="480"/>
      </w:tblGrid>
      <w:tr w:rsidR="008A4A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Возраст,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A4A6A" w:rsidRDefault="00231892">
            <w:r>
              <w:t>Группы здоровья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A4A6A" w:rsidRDefault="00231892">
            <w:r>
              <w:t>Уровни здоровья</w:t>
            </w:r>
          </w:p>
        </w:tc>
      </w:tr>
      <w:tr w:rsidR="008A4A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лет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III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IV-V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III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IV</w:t>
            </w:r>
          </w:p>
        </w:tc>
      </w:tr>
      <w:tr w:rsidR="008A4A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18-29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19,8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55,1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0,1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90,4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7,1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2,2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0,3</w:t>
            </w:r>
          </w:p>
        </w:tc>
      </w:tr>
      <w:tr w:rsidR="008A4A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30-59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43,4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48,8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2,8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62,1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27,9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7,8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2,2</w:t>
            </w:r>
          </w:p>
        </w:tc>
      </w:tr>
      <w:tr w:rsidR="008A4A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60 и более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8,9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54,7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35,9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11,5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22,8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52,6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13,1</w:t>
            </w:r>
          </w:p>
        </w:tc>
      </w:tr>
      <w:tr w:rsidR="008A4A6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6,9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36,4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45,5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11,2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58,2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20,6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14,5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6,7</w:t>
            </w:r>
          </w:p>
        </w:tc>
      </w:tr>
    </w:tbl>
    <w:p w:rsidR="008A4A6A" w:rsidRPr="00231892" w:rsidRDefault="00231892">
      <w:pPr>
        <w:pStyle w:val="a3"/>
      </w:pPr>
      <w:r>
        <w:t>Комплексная оценка состояния здоровья взрослого населения Новгородской области в 2006 г. (в %)</w:t>
      </w:r>
    </w:p>
    <w:p w:rsidR="008A4A6A" w:rsidRDefault="00231892">
      <w:pPr>
        <w:pStyle w:val="a3"/>
      </w:pPr>
      <w:r>
        <w:t>Если учесть, что при здоровьецентрическом подходе здоровье населения в целом определяется, главным образом, представительностью в нем контингента лиц с высоким (I) уровнем здоровья, именно он и становится ведущим популяционным критерием физического здоровья (табл. 2).</w:t>
      </w:r>
    </w:p>
    <w:p w:rsidR="008A4A6A" w:rsidRDefault="00231892">
      <w:pPr>
        <w:pStyle w:val="a3"/>
      </w:pPr>
      <w:r>
        <w:t>Таблица 2</w:t>
      </w:r>
    </w:p>
    <w:p w:rsidR="008A4A6A" w:rsidRDefault="00231892">
      <w:pPr>
        <w:pStyle w:val="a3"/>
      </w:pPr>
      <w:r>
        <w:t>Критерии оценки и методика исчисления уровня физического здоровья субпопуляции (взрослое население)</w:t>
      </w:r>
    </w:p>
    <w:p w:rsidR="008A4A6A" w:rsidRDefault="00231892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8A4A6A">
        <w:trPr>
          <w:trHeight w:val="705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Уровни физического здоровья субпопуляции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Уд. вес лиц с I уровнем здоровья в субпопуляции</w:t>
            </w:r>
          </w:p>
        </w:tc>
        <w:tc>
          <w:tcPr>
            <w:tcW w:w="0" w:type="auto"/>
            <w:vAlign w:val="center"/>
            <w:hideMark/>
          </w:tcPr>
          <w:p w:rsidR="008A4A6A" w:rsidRPr="00231892" w:rsidRDefault="00231892">
            <w:pPr>
              <w:pStyle w:val="a3"/>
            </w:pPr>
            <w:r w:rsidRPr="00231892">
              <w:t>Оценочный</w:t>
            </w:r>
          </w:p>
          <w:p w:rsidR="008A4A6A" w:rsidRPr="00231892" w:rsidRDefault="00231892">
            <w:pPr>
              <w:pStyle w:val="a3"/>
            </w:pPr>
            <w:r w:rsidRPr="00231892">
              <w:t>балл</w:t>
            </w:r>
          </w:p>
        </w:tc>
      </w:tr>
      <w:tr w:rsidR="008A4A6A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I — Высокий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Более 70%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10</w:t>
            </w:r>
          </w:p>
        </w:tc>
      </w:tr>
      <w:tr w:rsidR="008A4A6A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II — Нормальный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69-50%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8</w:t>
            </w:r>
          </w:p>
        </w:tc>
      </w:tr>
      <w:tr w:rsidR="008A4A6A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III — Сниженный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49-30%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5</w:t>
            </w:r>
          </w:p>
        </w:tc>
      </w:tr>
      <w:tr w:rsidR="008A4A6A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IV — Низкий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Менее 30%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2</w:t>
            </w:r>
          </w:p>
        </w:tc>
      </w:tr>
    </w:tbl>
    <w:p w:rsidR="008A4A6A" w:rsidRPr="00231892" w:rsidRDefault="00231892">
      <w:pPr>
        <w:pStyle w:val="a3"/>
      </w:pPr>
      <w:r>
        <w:t>Таблица 1</w:t>
      </w:r>
    </w:p>
    <w:p w:rsidR="008A4A6A" w:rsidRDefault="00231892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8A4A6A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Значения ИФС (в долях от 0 до 1)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Адаптационный потенциал основных функциональных систем жизнеобеспечения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Степени оценки ИФС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Балльная оценка ИФС</w:t>
            </w:r>
          </w:p>
        </w:tc>
      </w:tr>
      <w:tr w:rsidR="008A4A6A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1 - 0,80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 уровень — контрольный — незначительное напряжение адаптационных механизмов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Высокий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10</w:t>
            </w:r>
          </w:p>
        </w:tc>
      </w:tr>
      <w:tr w:rsidR="008A4A6A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0,79 - 0,50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II уровень — существенное напряжение адаптационных механизмов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Нормальный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6</w:t>
            </w:r>
          </w:p>
        </w:tc>
      </w:tr>
      <w:tr w:rsidR="008A4A6A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0,49 - 0,30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III уровень — выраженное напряжение адаптационных механизмов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Сниженный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3</w:t>
            </w:r>
          </w:p>
        </w:tc>
      </w:tr>
      <w:tr w:rsidR="008A4A6A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8A4A6A" w:rsidRDefault="00231892">
            <w:r>
              <w:t>менее 0,30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IV уровень — преморбидный статус (на грани срыва адаптации)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Низкий</w:t>
            </w:r>
          </w:p>
        </w:tc>
        <w:tc>
          <w:tcPr>
            <w:tcW w:w="0" w:type="auto"/>
            <w:vAlign w:val="center"/>
            <w:hideMark/>
          </w:tcPr>
          <w:p w:rsidR="008A4A6A" w:rsidRDefault="00231892">
            <w:r>
              <w:t>0</w:t>
            </w:r>
          </w:p>
        </w:tc>
      </w:tr>
    </w:tbl>
    <w:p w:rsidR="008A4A6A" w:rsidRPr="00231892" w:rsidRDefault="00231892">
      <w:pPr>
        <w:pStyle w:val="a3"/>
      </w:pPr>
      <w:r>
        <w:t>Критерии оценки ИФС</w:t>
      </w:r>
    </w:p>
    <w:p w:rsidR="008A4A6A" w:rsidRDefault="00231892">
      <w:pPr>
        <w:pStyle w:val="a3"/>
      </w:pPr>
      <w:r>
        <w:t>По результатам медосмотра 2005 г. мы провели комплексную оценку состояния здоровья взрослого населения по существующей (группы здоровья) и предложенной нами (уровни здоровья) оценочной схеме, в которой меняется сущностное понятие здоровья индивидуума и в качестве критерия выступает не наличие той или иной патологии, а степень ее биологической компенсации.</w:t>
      </w:r>
    </w:p>
    <w:p w:rsidR="008A4A6A" w:rsidRDefault="00231892">
      <w:pPr>
        <w:pStyle w:val="a3"/>
      </w:pPr>
      <w:r>
        <w:t>Как видно из табл.3, картина состояния здоровья населения существенно изменяется в сравнении с проведенной оценкой по существующей методике, и уже не 43,3%, а 78,8% обследованных имеют высокий и нормальный уровни здоровья, позволяющие им в полном объеме выполнять необходимые биологические и социальные функции.</w:t>
      </w:r>
    </w:p>
    <w:p w:rsidR="008A4A6A" w:rsidRDefault="00231892">
      <w:pPr>
        <w:pStyle w:val="a3"/>
      </w:pPr>
      <w:r>
        <w:t>Не будем при этом забывать, что 43% отражают лишь контингент обследованных с отсутствием хронической патологии, а 79% — контингент с достаточно высоким адаптационным (компенсационным) потенциалом, позволяющим человеку даже с хронической патологией вести полноценный образ жизни и активно участвовать в жизни общества.</w:t>
      </w:r>
    </w:p>
    <w:p w:rsidR="008A4A6A" w:rsidRDefault="00231892">
      <w:pPr>
        <w:pStyle w:val="a3"/>
      </w:pPr>
      <w:r>
        <w:t>Список литературы</w:t>
      </w:r>
    </w:p>
    <w:p w:rsidR="008A4A6A" w:rsidRDefault="00231892">
      <w:pPr>
        <w:pStyle w:val="a3"/>
      </w:pPr>
      <w:r>
        <w:t>Баевский Р.М., Берсенева А.П. Донозологическая диагностика в оценке состояния здоровья // Валеология: диагностика, средства и практика обеспечения здоровья. СПб., 1993. С.33-48.</w:t>
      </w:r>
    </w:p>
    <w:p w:rsidR="008A4A6A" w:rsidRDefault="00231892">
      <w:pPr>
        <w:pStyle w:val="a3"/>
      </w:pPr>
      <w:r>
        <w:t>Казначеев В.П. Современные аспекты адаптации. Новосибирск, 1985. 190 с.</w:t>
      </w:r>
    </w:p>
    <w:p w:rsidR="008A4A6A" w:rsidRDefault="00231892">
      <w:pPr>
        <w:pStyle w:val="a3"/>
      </w:pPr>
      <w:r>
        <w:t>Макаренко Ю.А. Адаптивные возможности организма как показатель уровня здоровья детей // Онтогенетические особенности адаптации детей / Под ред. Ю.Е.Вельтищева и Р.Р.Шиляева. М., 1985. С.31-36.</w:t>
      </w:r>
    </w:p>
    <w:p w:rsidR="008A4A6A" w:rsidRDefault="00231892">
      <w:pPr>
        <w:pStyle w:val="a3"/>
      </w:pPr>
      <w:r>
        <w:t>Методические рекомендации по изучению физического здоровья населения. Утв. РАМН 01.03.2007/ В.И.Стародубов, В.А.Медик, А.Г.Швецов, Д.А.Швецов и др. М., 2007. 26 с.</w:t>
      </w:r>
    </w:p>
    <w:p w:rsidR="008A4A6A" w:rsidRDefault="00231892">
      <w:pPr>
        <w:pStyle w:val="a3"/>
      </w:pPr>
      <w:r>
        <w:t>Баевский Р.М. и соавт. Оценка возможностей организма. М., 1994. 256 с.</w:t>
      </w:r>
    </w:p>
    <w:p w:rsidR="008A4A6A" w:rsidRDefault="00231892">
      <w:pPr>
        <w:pStyle w:val="a3"/>
      </w:pPr>
      <w:r>
        <w:t>Швецов А.Г., Токмачев М.С. Методические подходы к оценке морфофункционального статуса организма // Здоровье населения и приоритеты здравоохранения: Сб. науч. тр. ННЦ СЗО РАМН. М.: Медицина, 2005. С.162-168.</w:t>
      </w:r>
      <w:bookmarkStart w:id="0" w:name="_GoBack"/>
      <w:bookmarkEnd w:id="0"/>
    </w:p>
    <w:sectPr w:rsidR="008A4A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892"/>
    <w:rsid w:val="00231892"/>
    <w:rsid w:val="00795A84"/>
    <w:rsid w:val="008A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DD07B-7146-4898-B003-FF02CFE5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1126</Words>
  <Characters>6423</Characters>
  <Application>Microsoft Office Word</Application>
  <DocSecurity>0</DocSecurity>
  <Lines>53</Lines>
  <Paragraphs>15</Paragraphs>
  <ScaleCrop>false</ScaleCrop>
  <Company>diakov.net</Company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концепция изучения и оценки физического здоровья взрослого населения</dc:title>
  <dc:subject/>
  <dc:creator>Irina</dc:creator>
  <cp:keywords/>
  <dc:description/>
  <cp:lastModifiedBy>Irina</cp:lastModifiedBy>
  <cp:revision>2</cp:revision>
  <dcterms:created xsi:type="dcterms:W3CDTF">2014-08-02T20:09:00Z</dcterms:created>
  <dcterms:modified xsi:type="dcterms:W3CDTF">2014-08-02T20:09:00Z</dcterms:modified>
</cp:coreProperties>
</file>