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8E8" w:rsidRDefault="006B1EFA">
      <w:pPr>
        <w:pStyle w:val="1"/>
        <w:jc w:val="center"/>
      </w:pPr>
      <w:r>
        <w:t>Состояние и проблемы развития научно-технологической сферы Российской Федерации в сравнении со странами Балтийского региона</w:t>
      </w:r>
    </w:p>
    <w:p w:rsidR="00F338E8" w:rsidRPr="006B1EFA" w:rsidRDefault="006B1EFA">
      <w:pPr>
        <w:pStyle w:val="a3"/>
      </w:pPr>
      <w:r>
        <w:t> Ажинов Д.Г. (г. Калининград)</w:t>
      </w:r>
    </w:p>
    <w:p w:rsidR="00F338E8" w:rsidRDefault="006B1EFA">
      <w:pPr>
        <w:pStyle w:val="a3"/>
      </w:pPr>
      <w:r>
        <w:t>Аннотация. В статье проведен анализ состояния научно-технологической сферы стран Балтийского региона, сравнивается структура финансирования науки и инноваций, выявлены проблемы кооперации между участниками инновационного развития. Рассматриваются такие важные факторы, как валовые внутренние расходы на научно-исследовательские и опытно-конструкторские работы (НИОКР), источники их финансирования, динамика доли затрат на НИОКР в прибыли компаний и прочее. Анализ производился на основе данных статистической службы Европейского союза (Eurostat) и статистических данных Организации экономического сотрудничества и развития (OECD).</w:t>
      </w:r>
    </w:p>
    <w:p w:rsidR="00F338E8" w:rsidRDefault="006B1EFA">
      <w:pPr>
        <w:pStyle w:val="a3"/>
      </w:pPr>
      <w:r>
        <w:t>Начало 2000-х гг. было отмечено высокой динамикой экономического развития Российской Федерации, что можно объяснить благоприятной конъюнктурой на международном рынке на минеральные энергоносители — нефтепродукты и газ. Сегодня потенциал экспортно-сырьевой модели экономики России исчерпывается, а становление производственного сектора, конкурентоспособного на внешнем рынке, происходит очень медленно. Деятельность в современном обществе строится на знании, а конкуренция в современном мире все больше сводится к конкуренции знаний [5]. В этих условиях особую роль приобретает развитие научно-технологической сферы.</w:t>
      </w:r>
    </w:p>
    <w:p w:rsidR="00F338E8" w:rsidRDefault="006B1EFA">
      <w:pPr>
        <w:pStyle w:val="a3"/>
      </w:pPr>
      <w:r>
        <w:t>Цель настоящей статьи — выявление проблем развития научнотехнологической сферы России в сравнении со странами Балтийского региона. Объектом исследования являются факторы, влияющие на увеличение уровня научно-технического развития стран Балтийского региона.</w:t>
      </w:r>
    </w:p>
    <w:p w:rsidR="00F338E8" w:rsidRDefault="006B1EFA">
      <w:pPr>
        <w:pStyle w:val="a3"/>
      </w:pPr>
      <w:r>
        <w:t>Экономический рост в современном мире характеризуется увеличением значения научно-технической сферы и интеллектуализацией основных факторов производства. На долю НИОКР, воплощаемых в технологиях, оборудовании, образовании кадров, организации производства в развитых странах, приходится от 70 до 85% прироста ВВП. В начале века быстро повышался вклад инновационной составляющей в прирост ВВП развитых стран, который в США, например, увеличивался с 31,0% в 1980-е гг. до 34,6% в начале нового столетия; в Японии, соответственно — с 30,6 до 42,3%; в Европе — с 45,5 до 50,0%. Экономический кризис, разразившийся в 2008 г., несколько скорректировал показатели, но инновации стали ключевым фактором в международной конкуренции, позволяя передовым фирмам добиваться сверхприбылей за счет присвоения интеллектуальной ренты, образующейся при монопольном использовании более эффективных продуктов и технологий [3]. На наш взгляд, заинтересованность частного сектора, особенно крупных фирм (ТНК), оказывает основное влияние на развитие научно-технологической сферы.</w:t>
      </w:r>
    </w:p>
    <w:p w:rsidR="00F338E8" w:rsidRDefault="006B1EFA">
      <w:pPr>
        <w:pStyle w:val="a3"/>
      </w:pPr>
      <w:r>
        <w:t>На фоне возрастающей глобальной конкуренции общие расходы на НИОКР в России в 2005—2010 гг. значительно не изменились (абсолютный прирост равен 0,8 % ВВП) и составили в 2010 г. 1,16 % ВВП (рис. 1б). Таким образом, Россия по данному показателю отстаёт практически в 2 раза от развитых стран Балтийского региона (рис. 1а), однако в группе постсоциалистических стран она уступает только Эстонии, приблизившейся по своим валовым затратам на исследования и разработки к уровню Норвегии.</w:t>
      </w:r>
    </w:p>
    <w:p w:rsidR="00F338E8" w:rsidRDefault="006B1EFA">
      <w:pPr>
        <w:pStyle w:val="a3"/>
      </w:pPr>
      <w:r>
        <w:t>Рис. 1. Валовые внутренние расходы на НИОКР в странах Балтийского региона в 2005-2011 гг. Источник: [7, 10]</w:t>
      </w:r>
    </w:p>
    <w:p w:rsidR="00F338E8" w:rsidRDefault="00631CCD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17.25pt;height:179.25pt"/>
        </w:pict>
      </w:r>
    </w:p>
    <w:p w:rsidR="00F338E8" w:rsidRDefault="006B1EFA">
      <w:pPr>
        <w:pStyle w:val="a3"/>
      </w:pPr>
      <w:r>
        <w:t>Изменений в структуре финансирования за последние годы произошло мало. Главным заказчиком НИОКР в России по-прежнему остается государство. Однако, исходя из мировой практики, ключевую роль в разработке и внедрении инноваций должен играть бизнес-сектор. Часть затрат компаний на исследования и разработки в общенациональных расходах на НИОКР в развитых странах Балтийского региона превышает 65% (рис. 2а, б), соответственно, доля государства в данных затратах в среднем составляет около 30 %.</w:t>
      </w:r>
    </w:p>
    <w:p w:rsidR="00F338E8" w:rsidRDefault="006B1EFA">
      <w:pPr>
        <w:pStyle w:val="a3"/>
      </w:pPr>
      <w:r>
        <w:t>Рис. 2. Динамика источников финансирования НИОКР в развитых странах Балтийского региона в 2005-2011 гг. Источник: [7, 10]</w:t>
      </w:r>
    </w:p>
    <w:p w:rsidR="00F338E8" w:rsidRDefault="00631CCD">
      <w:pPr>
        <w:pStyle w:val="a3"/>
      </w:pPr>
      <w:r>
        <w:rPr>
          <w:noProof/>
        </w:rPr>
        <w:pict>
          <v:shape id="_x0000_i1038" type="#_x0000_t75" style="width:261pt;height:155.25pt"/>
        </w:pict>
      </w:r>
    </w:p>
    <w:p w:rsidR="00F338E8" w:rsidRDefault="006B1EFA">
      <w:pPr>
        <w:pStyle w:val="a3"/>
      </w:pPr>
      <w:r>
        <w:t>В России и постсоциалистических странах Балтийского региона наблюдается обратная ситуация: финансирование НИР и НИОКР частным сектором составляет в среднем около 31 % общего объема капиталовложений в науку (рис. 3 а, б).</w:t>
      </w:r>
    </w:p>
    <w:p w:rsidR="00F338E8" w:rsidRDefault="006B1EFA">
      <w:pPr>
        <w:pStyle w:val="a3"/>
      </w:pPr>
      <w:r>
        <w:t>Рис. 3. Динамика источников финансирования НИОКР в постсоциалистических странах Балтийского региона в 2005-2011 гг. Источник: [7, 10]</w:t>
      </w:r>
    </w:p>
    <w:p w:rsidR="00F338E8" w:rsidRDefault="00631CCD">
      <w:pPr>
        <w:pStyle w:val="a3"/>
      </w:pPr>
      <w:r>
        <w:rPr>
          <w:noProof/>
        </w:rPr>
        <w:pict>
          <v:shape id="_x0000_i1041" type="#_x0000_t75" style="width:325.5pt;height:175.5pt"/>
        </w:pict>
      </w:r>
    </w:p>
    <w:p w:rsidR="00F338E8" w:rsidRDefault="006B1EFA">
      <w:pPr>
        <w:pStyle w:val="a3"/>
      </w:pPr>
      <w:r>
        <w:t>В этих условиях рост бюджетного финансирования исследований и разработок, имевший место в последние годы, не мог привести к заметному повышению инновационной активности российских компаний. С 2005 по 2011 гг. доля средств, которые вкладывает российский бизнес-сектор, во внутренних затратах на исследования и разработки уменьшилась с 30,0 % до 27,7 %, при этом произошло увеличение доли средств государства с 61,9 % до 67,1 %.</w:t>
      </w:r>
    </w:p>
    <w:p w:rsidR="00F338E8" w:rsidRDefault="006B1EFA">
      <w:pPr>
        <w:pStyle w:val="a3"/>
      </w:pPr>
      <w:r>
        <w:t>В среднем компании развитых стран Балтийского региона тратят на НИОКР 3,34 % годового дохода (рис. 4а). Лидером по данному показателю в 2010 г. является Финляндия — затраты ее компаний на исследования и разработки составили 4,67 %, тем самым среди стран Организации экономического сотрудничества и развития (ОЭСР) она уступает только Израилю. По данным Объединенного исследовательского центра Европейского союза, средняя интенсивность расходов на НИОКР (отношение затрат на НИОКР к выручке) 1400 крупнейших по размерам инвестиций в исследования и разработки компаний мира в 2011 г. по сравнению с предыдущим годом сократилась на 0,2 % и составила 3,3 % [11].</w:t>
      </w:r>
      <w:r w:rsidR="00631CCD">
        <w:rPr>
          <w:noProof/>
        </w:rPr>
        <w:pict>
          <v:shape id="_x0000_i1044" type="#_x0000_t75" style="width:285.75pt;height:189pt"/>
        </w:pict>
      </w:r>
    </w:p>
    <w:p w:rsidR="00F338E8" w:rsidRDefault="006B1EFA">
      <w:pPr>
        <w:pStyle w:val="a3"/>
      </w:pPr>
      <w:r>
        <w:t>На фоне более развитых стран отставание постсоциалистических стран Балтийского региона по показателю доли затрат на НИОКР в прибыли компаний существенно (рис. 4б).</w:t>
      </w:r>
    </w:p>
    <w:p w:rsidR="00F338E8" w:rsidRDefault="006B1EFA">
      <w:pPr>
        <w:pStyle w:val="a3"/>
      </w:pPr>
      <w:r>
        <w:t>Крупнейшие по размерам инвестиций в НИОКР компании Балтийского региона. На основе данных: [11]</w:t>
      </w:r>
    </w:p>
    <w:p w:rsidR="00F338E8" w:rsidRDefault="006B1EFA">
      <w:pPr>
        <w:pStyle w:val="a3"/>
      </w:pPr>
      <w:r>
        <w:t>Особо показательным является число компаний стран Балтийского региона, вошедших в рейтинг Объединенного исследовательского центра ЕС The 2012 EU Industrial R&amp;D Investment Scoreboard (табл. 1).</w:t>
      </w:r>
    </w:p>
    <w:p w:rsidR="00F338E8" w:rsidRDefault="006B1EFA">
      <w:pPr>
        <w:pStyle w:val="a3"/>
      </w:pPr>
      <w:r>
        <w:t>Таблица 1</w:t>
      </w:r>
    </w:p>
    <w:p w:rsidR="00F338E8" w:rsidRDefault="006B1EFA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160"/>
        <w:gridCol w:w="160"/>
        <w:gridCol w:w="160"/>
      </w:tblGrid>
      <w:tr w:rsidR="00F338E8">
        <w:trPr>
          <w:trHeight w:val="22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F338E8" w:rsidRDefault="006B1EFA">
            <w:r>
              <w:t>Страна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338E8" w:rsidRDefault="006B1EFA">
            <w:r>
              <w:t>Кол-во компаний в рейтинге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338E8" w:rsidRDefault="006B1EFA">
            <w:r>
              <w:t>Наиболее успешные компании</w:t>
            </w:r>
          </w:p>
        </w:tc>
      </w:tr>
      <w:tr w:rsidR="00F338E8">
        <w:trPr>
          <w:trHeight w:val="63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Align w:val="center"/>
            <w:hideMark/>
          </w:tcPr>
          <w:p w:rsidR="00F338E8" w:rsidRDefault="006B1EFA">
            <w:r>
              <w:t>Наименование компании / Сфера деятельности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Место в рейтинге</w:t>
            </w:r>
          </w:p>
        </w:tc>
        <w:tc>
          <w:tcPr>
            <w:tcW w:w="0" w:type="auto"/>
            <w:vAlign w:val="center"/>
            <w:hideMark/>
          </w:tcPr>
          <w:p w:rsidR="00F338E8" w:rsidRPr="006B1EFA" w:rsidRDefault="006B1EFA">
            <w:pPr>
              <w:pStyle w:val="a3"/>
            </w:pPr>
            <w:r w:rsidRPr="006B1EFA">
              <w:t>Объем</w:t>
            </w:r>
          </w:p>
          <w:p w:rsidR="00F338E8" w:rsidRPr="006B1EFA" w:rsidRDefault="006B1EFA">
            <w:pPr>
              <w:pStyle w:val="a3"/>
            </w:pPr>
            <w:r w:rsidRPr="006B1EFA">
              <w:t>финансирования R&amp;D (млн. евро)</w:t>
            </w:r>
          </w:p>
        </w:tc>
      </w:tr>
      <w:tr w:rsidR="00F338E8">
        <w:trPr>
          <w:trHeight w:val="42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F338E8" w:rsidRDefault="006B1EFA">
            <w:r>
              <w:t>Германия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338E8" w:rsidRDefault="006B1EFA">
            <w:r>
              <w:t>108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Volkswagen (Автомобили И Автозапчасти)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7203,00</w:t>
            </w:r>
          </w:p>
        </w:tc>
      </w:tr>
      <w:tr w:rsidR="00F338E8">
        <w:trPr>
          <w:trHeight w:val="42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Align w:val="center"/>
            <w:hideMark/>
          </w:tcPr>
          <w:p w:rsidR="00F338E8" w:rsidRDefault="006B1EFA">
            <w:r>
              <w:t>Daimler (Автомобили и автозапчасти)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5629,00</w:t>
            </w:r>
          </w:p>
        </w:tc>
      </w:tr>
      <w:tr w:rsidR="00F338E8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Align w:val="center"/>
            <w:hideMark/>
          </w:tcPr>
          <w:p w:rsidR="00F338E8" w:rsidRDefault="006B1EFA">
            <w:r>
              <w:t>Siemens (Электроприборы)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1278,00</w:t>
            </w:r>
          </w:p>
        </w:tc>
      </w:tr>
      <w:tr w:rsidR="00F338E8">
        <w:trPr>
          <w:trHeight w:val="22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F338E8" w:rsidRDefault="006B1EFA">
            <w:r>
              <w:t>Страна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338E8" w:rsidRDefault="006B1EFA">
            <w:r>
              <w:t>Кол-во компаний в рейтинге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338E8" w:rsidRDefault="006B1EFA">
            <w:r>
              <w:t>Наиболее успешные компании</w:t>
            </w:r>
          </w:p>
        </w:tc>
      </w:tr>
      <w:tr w:rsidR="00F338E8">
        <w:trPr>
          <w:trHeight w:val="64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Align w:val="center"/>
            <w:hideMark/>
          </w:tcPr>
          <w:p w:rsidR="00F338E8" w:rsidRDefault="006B1EFA">
            <w:r>
              <w:t>Наименование компании / Сфера деятельности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Место в рейтинге</w:t>
            </w:r>
          </w:p>
        </w:tc>
        <w:tc>
          <w:tcPr>
            <w:tcW w:w="0" w:type="auto"/>
            <w:vAlign w:val="center"/>
            <w:hideMark/>
          </w:tcPr>
          <w:p w:rsidR="00F338E8" w:rsidRPr="006B1EFA" w:rsidRDefault="006B1EFA">
            <w:pPr>
              <w:pStyle w:val="a3"/>
            </w:pPr>
            <w:r w:rsidRPr="006B1EFA">
              <w:t>Объем</w:t>
            </w:r>
          </w:p>
          <w:p w:rsidR="00F338E8" w:rsidRPr="006B1EFA" w:rsidRDefault="006B1EFA">
            <w:pPr>
              <w:pStyle w:val="a3"/>
            </w:pPr>
            <w:r w:rsidRPr="006B1EFA">
              <w:t>финансирования R&amp;D (млн. евро)</w:t>
            </w:r>
          </w:p>
        </w:tc>
      </w:tr>
      <w:tr w:rsidR="00F338E8">
        <w:trPr>
          <w:trHeight w:val="24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F338E8" w:rsidRDefault="006B1EFA">
            <w:r>
              <w:t>Дания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338E8" w:rsidRDefault="006B1EFA"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NovoNordisk (Фармацевтика)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89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1209,90</w:t>
            </w:r>
          </w:p>
        </w:tc>
      </w:tr>
      <w:tr w:rsidR="00F338E8">
        <w:trPr>
          <w:trHeight w:val="6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Align w:val="center"/>
            <w:hideMark/>
          </w:tcPr>
          <w:p w:rsidR="00F338E8" w:rsidRDefault="006B1EFA">
            <w:r>
              <w:t>VestasWindSystems (Альтернативные источники энергии)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237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393,00</w:t>
            </w:r>
          </w:p>
        </w:tc>
      </w:tr>
      <w:tr w:rsidR="00F338E8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Align w:val="center"/>
            <w:hideMark/>
          </w:tcPr>
          <w:p w:rsidR="00F338E8" w:rsidRDefault="006B1EFA">
            <w:r>
              <w:t>Novozymes (Фармацевтика)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433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173,10</w:t>
            </w:r>
          </w:p>
        </w:tc>
      </w:tr>
      <w:tr w:rsidR="00F338E8">
        <w:trPr>
          <w:trHeight w:val="42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F338E8" w:rsidRDefault="006B1EFA">
            <w:r>
              <w:t>Швеция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338E8" w:rsidRDefault="006B1EFA"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Ericsson (Телекоммуникационное оборудование)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29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3656,90</w:t>
            </w:r>
          </w:p>
        </w:tc>
      </w:tr>
      <w:tr w:rsidR="00F338E8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Align w:val="center"/>
            <w:hideMark/>
          </w:tcPr>
          <w:p w:rsidR="00F338E8" w:rsidRDefault="006B1EFA">
            <w:r>
              <w:t>Volvo (Грузовые автомобили)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55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1965,20</w:t>
            </w:r>
          </w:p>
        </w:tc>
      </w:tr>
      <w:tr w:rsidR="00F338E8">
        <w:trPr>
          <w:trHeight w:val="42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Align w:val="center"/>
            <w:hideMark/>
          </w:tcPr>
          <w:p w:rsidR="00F338E8" w:rsidRDefault="006B1EFA">
            <w:r>
              <w:t>Sandvik (Промышленное оборудование)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282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322,00</w:t>
            </w:r>
          </w:p>
        </w:tc>
      </w:tr>
      <w:tr w:rsidR="00F338E8">
        <w:trPr>
          <w:trHeight w:val="42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F338E8" w:rsidRDefault="006B1EFA">
            <w:r>
              <w:t>Финляндия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338E8" w:rsidRDefault="006B1EFA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Nokia (Телекоммуникационное оборудование)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4 910,00</w:t>
            </w:r>
          </w:p>
        </w:tc>
      </w:tr>
      <w:tr w:rsidR="00F338E8">
        <w:trPr>
          <w:trHeight w:val="42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Align w:val="center"/>
            <w:hideMark/>
          </w:tcPr>
          <w:p w:rsidR="00F338E8" w:rsidRDefault="006B1EFA">
            <w:r>
              <w:t>Wartsila (Промышленное оборудование)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439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172,00</w:t>
            </w:r>
          </w:p>
        </w:tc>
      </w:tr>
      <w:tr w:rsidR="00F338E8">
        <w:trPr>
          <w:trHeight w:val="42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Align w:val="center"/>
            <w:hideMark/>
          </w:tcPr>
          <w:p w:rsidR="00F338E8" w:rsidRDefault="006B1EFA">
            <w:r>
              <w:t>Metso (Промышленное оборудование)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598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118,00</w:t>
            </w:r>
          </w:p>
        </w:tc>
      </w:tr>
      <w:tr w:rsidR="00F338E8">
        <w:trPr>
          <w:trHeight w:val="42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F338E8" w:rsidRDefault="006B1EFA">
            <w:r>
              <w:t>Норвегия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338E8" w:rsidRDefault="006B1EFA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DnB NOR (Банковская деятельность)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303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293,10</w:t>
            </w:r>
          </w:p>
        </w:tc>
      </w:tr>
      <w:tr w:rsidR="00F338E8">
        <w:trPr>
          <w:trHeight w:val="42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Align w:val="center"/>
            <w:hideMark/>
          </w:tcPr>
          <w:p w:rsidR="00F338E8" w:rsidRDefault="006B1EFA">
            <w:r>
              <w:t>Statoil (Производство нефти и газа)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311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283,40</w:t>
            </w:r>
          </w:p>
        </w:tc>
      </w:tr>
      <w:tr w:rsidR="00F338E8">
        <w:trPr>
          <w:trHeight w:val="61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Align w:val="center"/>
            <w:hideMark/>
          </w:tcPr>
          <w:p w:rsidR="00F338E8" w:rsidRDefault="006B1EFA">
            <w:r>
              <w:t>Kongsberg Gruppen (Аэрокосмическая и оборонная промышленность)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715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93,00</w:t>
            </w:r>
          </w:p>
        </w:tc>
      </w:tr>
      <w:tr w:rsidR="00F338E8">
        <w:trPr>
          <w:trHeight w:val="42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F338E8" w:rsidRDefault="006B1EFA">
            <w:r>
              <w:t>Россия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338E8" w:rsidRDefault="006B1EFA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Gazprom (Производство нефти и газа)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159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643,00</w:t>
            </w:r>
          </w:p>
        </w:tc>
      </w:tr>
      <w:tr w:rsidR="00F338E8">
        <w:trPr>
          <w:trHeight w:val="42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Align w:val="center"/>
            <w:hideMark/>
          </w:tcPr>
          <w:p w:rsidR="00F338E8" w:rsidRDefault="006B1EFA">
            <w:r>
              <w:t>Rosneft (Производство нефти и газа)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384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205,20</w:t>
            </w:r>
          </w:p>
        </w:tc>
      </w:tr>
      <w:tr w:rsidR="00F338E8">
        <w:trPr>
          <w:trHeight w:val="42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Merge/>
            <w:vAlign w:val="center"/>
            <w:hideMark/>
          </w:tcPr>
          <w:p w:rsidR="00F338E8" w:rsidRDefault="00F338E8"/>
        </w:tc>
        <w:tc>
          <w:tcPr>
            <w:tcW w:w="0" w:type="auto"/>
            <w:vAlign w:val="center"/>
            <w:hideMark/>
          </w:tcPr>
          <w:p w:rsidR="00F338E8" w:rsidRDefault="006B1EFA">
            <w:r>
              <w:t>Lukoil (Производство нефти и газа)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641</w:t>
            </w:r>
          </w:p>
        </w:tc>
        <w:tc>
          <w:tcPr>
            <w:tcW w:w="0" w:type="auto"/>
            <w:vAlign w:val="center"/>
            <w:hideMark/>
          </w:tcPr>
          <w:p w:rsidR="00F338E8" w:rsidRDefault="006B1EFA">
            <w:r>
              <w:t>108,20</w:t>
            </w:r>
          </w:p>
        </w:tc>
      </w:tr>
    </w:tbl>
    <w:p w:rsidR="00F338E8" w:rsidRPr="006B1EFA" w:rsidRDefault="006B1EFA">
      <w:pPr>
        <w:pStyle w:val="a3"/>
      </w:pPr>
      <w:r>
        <w:t>Россия в 2011 г. в данном рейтинге является единственной представительницей группы развивающихся стран Балтийского региона. В нём были отмечены три российских компании нефтегазового сектора — ОАО «Газпром», ОАО «ЛУКОЙЛ», ОАО НК «Роснефть». Лидером среди крупнейших мировых компаний стран Балтийского региона является немецкая компания Volksvagen, объем затрат на исследования и разработки которой (6258 млн. евро) практически равняется совокупному объему затрат на НИОКР российских компаний (приблизительно 7720 млн. евро).</w:t>
      </w:r>
    </w:p>
    <w:p w:rsidR="00F338E8" w:rsidRDefault="006B1EFA">
      <w:pPr>
        <w:pStyle w:val="a3"/>
      </w:pPr>
      <w:r>
        <w:t>По мнению рейтингового агентства «Эксперт РА», ключевой проблемой российской инновационной сферы является прежде всего низкий спрос на инновации в российской экономике, а также его неэффективная структура — избыточный перекос в сторону закупки готового оборудования за рубежом в ущерб внедрению собственных новых разработок [9].</w:t>
      </w:r>
    </w:p>
    <w:p w:rsidR="00F338E8" w:rsidRDefault="006B1EFA">
      <w:pPr>
        <w:pStyle w:val="a3"/>
      </w:pPr>
      <w:r>
        <w:t>В 2008 г., достигнув уровня минус 1,35 млрд. долларов, прервалось поступательное снижение сальдо России в торговле технологиями, и в результате этого дефицит технологического баланса был сокращен к 2010 г. до минус 0,78 млрд. долларов (рис. 5б). В то же время в более развитых странах Балтийского региона наблюдается стойкая тенденция к наращиванию из года в год профицита технологического баланса (рис. 5а).</w:t>
      </w:r>
    </w:p>
    <w:p w:rsidR="00F338E8" w:rsidRDefault="006B1EFA">
      <w:pPr>
        <w:pStyle w:val="a3"/>
      </w:pPr>
      <w:r>
        <w:t>Рис. 5. Динамика сальдо технологического баланса стран Балтийского региона за период 2005-2011 гг. Источник: [10]</w:t>
      </w:r>
    </w:p>
    <w:p w:rsidR="00F338E8" w:rsidRDefault="00631CCD">
      <w:pPr>
        <w:pStyle w:val="a3"/>
      </w:pPr>
      <w:r>
        <w:rPr>
          <w:noProof/>
        </w:rPr>
        <w:pict>
          <v:shape id="_x0000_i1047" type="#_x0000_t75" style="width:317.25pt;height:242.25pt"/>
        </w:pict>
      </w:r>
    </w:p>
    <w:p w:rsidR="00F338E8" w:rsidRDefault="006B1EFA">
      <w:pPr>
        <w:pStyle w:val="a3"/>
      </w:pPr>
      <w:r>
        <w:t>Такая неутешительная динамика технологического баланса России относительно развитых стран Балтийского региона во многом обусловлена отставанием России по числу инновационноактивных компаний и в интенсивности их затрат на инновации.</w:t>
      </w:r>
    </w:p>
    <w:p w:rsidR="00F338E8" w:rsidRDefault="006B1EFA">
      <w:pPr>
        <w:pStyle w:val="a3"/>
      </w:pPr>
      <w:r>
        <w:t>В 2010 г. доля промышленных компаний, занимающихся разработкой и внедрением новых технологий, составила лишь 9,3 % общего числа российских компаний. Всего, по данным Высшей школы экономики, только 7,9 % всех российских предприятий применяют технологические инновации (рис. 6б). Данный показатель демонстрирует существенное отставание России от развитых стран Балтийского региона (рис. 6а).</w:t>
      </w:r>
    </w:p>
    <w:p w:rsidR="00F338E8" w:rsidRDefault="006B1EFA">
      <w:pPr>
        <w:pStyle w:val="a3"/>
      </w:pPr>
      <w:r>
        <w:t>Рис. 6. Доля компаний, осуществлявших технологические инновации, в общем числе компаний. Источник: [4]</w:t>
      </w:r>
    </w:p>
    <w:p w:rsidR="00F338E8" w:rsidRDefault="00631CCD">
      <w:pPr>
        <w:pStyle w:val="a3"/>
      </w:pPr>
      <w:r>
        <w:rPr>
          <w:noProof/>
        </w:rPr>
        <w:pict>
          <v:shape id="_x0000_i1050" type="#_x0000_t75" style="width:339pt;height:3in"/>
        </w:pict>
      </w:r>
    </w:p>
    <w:p w:rsidR="00F338E8" w:rsidRDefault="006B1EFA">
      <w:pPr>
        <w:pStyle w:val="a3"/>
      </w:pPr>
      <w:r>
        <w:t>Однако Россия отстает от стран Балтийского региона также и по удельному весу затрат на технологические инновации в общем объеме отгруженных товаров, выполненных работ, услуг, который в 2010 г. составил 1,55 % (рис. 7). Тем не менее динамика данного показателя у российских предприятий положительная: при значении показателя в 2006 г. 1,28 % прирост составил 21 %. В то же время показатели лидеров стран Балтийского региона, таких, как Германия и Швеция, значительно снизились.</w:t>
      </w:r>
    </w:p>
    <w:p w:rsidR="00F338E8" w:rsidRDefault="006B1EFA">
      <w:pPr>
        <w:pStyle w:val="a3"/>
      </w:pPr>
      <w:r>
        <w:t>Сокращение участия частных компаний в финансировании НИОКР объясняется недостаточным уровнем развития в России системы частно-государственного партнерства: доля компаний, получавших бюджетное финансирование на эти цели, составляет в России всего 1 %. Для сравнения: в Финляндии — 16,3 %, в Германии — 12,2 %, в Эстонии — 6,3 %, в Польше — 3,5%, в Литве — 3,2 %, в Латвии — 2,4 % [10].</w:t>
      </w:r>
    </w:p>
    <w:p w:rsidR="00F338E8" w:rsidRDefault="00631CCD">
      <w:pPr>
        <w:pStyle w:val="a3"/>
      </w:pPr>
      <w:r>
        <w:rPr>
          <w:noProof/>
        </w:rPr>
        <w:pict>
          <v:shape id="_x0000_i1053" type="#_x0000_t75" style="width:330.75pt;height:180.75pt"/>
        </w:pict>
      </w:r>
    </w:p>
    <w:p w:rsidR="00F338E8" w:rsidRDefault="006B1EFA">
      <w:pPr>
        <w:pStyle w:val="a3"/>
      </w:pPr>
      <w:r>
        <w:t>Серьезным недостатком российской инновационной системы, ориентированной на использование заимствованных технологий, а не на создание собственных прорывных нововведений, является ее имитационный характер. Россия занимает последнее место по доле передовых инновационных компаний среди стран ОЭСР: 16 % по сравнению с 35 % в Германии, 51 и 55 % — в Дании и Финляндии [10]. Необходимо отметить, что наиболее многочисленный в России (34,3 %) тип пассивных технологических заимствований находится на грани исчезновения в экономически развитых странах Европы (около 5—8%). Помимо количественного отставания отечественных компаний по уровню инновационной активности, существуют значительные проблемы в структуре и организации управления.</w:t>
      </w:r>
    </w:p>
    <w:p w:rsidR="00F338E8" w:rsidRDefault="006B1EFA">
      <w:pPr>
        <w:pStyle w:val="a3"/>
      </w:pPr>
      <w:r>
        <w:t>Уровень инновационной активности в России непосредственно связан с низкой отдачей от реализации технологических нововведений. Например, рост объемов инновационной продукции за период 2003—2011 гг. не соответствует увеличению затрат на технологические инновации (за аналогичный период практически в 3,5 раза) (рис. 8).</w:t>
      </w:r>
    </w:p>
    <w:p w:rsidR="00F338E8" w:rsidRDefault="006B1EFA">
      <w:pPr>
        <w:pStyle w:val="a3"/>
      </w:pPr>
      <w:r>
        <w:t>В 2003 г. на каждый рубль затрат на инновации приходилось 2,97 рубля продукции, в 2011-м г. этот показатель увеличился только на 30 %, достигнув уровня 3,89 рубля (рис. 9).</w:t>
      </w:r>
    </w:p>
    <w:p w:rsidR="00F338E8" w:rsidRDefault="006B1EFA">
      <w:pPr>
        <w:pStyle w:val="a3"/>
      </w:pPr>
      <w:r>
        <w:t>Рис. 8. Соотношение объемов инновационной продукции и затрат на технологические инновации в России в 2003-2011 гг. Источник: [8]</w:t>
      </w:r>
    </w:p>
    <w:p w:rsidR="00F338E8" w:rsidRDefault="00631CCD">
      <w:pPr>
        <w:pStyle w:val="a3"/>
      </w:pPr>
      <w:r>
        <w:rPr>
          <w:noProof/>
        </w:rPr>
        <w:pict>
          <v:shape id="_x0000_i1056" type="#_x0000_t75" style="width:338.25pt;height:156.75pt"/>
        </w:pict>
      </w:r>
    </w:p>
    <w:p w:rsidR="00F338E8" w:rsidRDefault="006B1EFA">
      <w:pPr>
        <w:pStyle w:val="a3"/>
      </w:pPr>
      <w:r>
        <w:t> </w:t>
      </w:r>
    </w:p>
    <w:p w:rsidR="00F338E8" w:rsidRDefault="006B1EFA">
      <w:pPr>
        <w:pStyle w:val="a3"/>
      </w:pPr>
      <w:r>
        <w:t>Рис. 9. Стоимость отгруженной инновационной продукции на рубль затрат на технологические инновации в России в 2003-2011 гг. Источник: [8]</w:t>
      </w:r>
    </w:p>
    <w:p w:rsidR="00F338E8" w:rsidRDefault="00631CCD">
      <w:pPr>
        <w:pStyle w:val="a3"/>
      </w:pPr>
      <w:r>
        <w:rPr>
          <w:noProof/>
        </w:rPr>
        <w:pict>
          <v:shape id="_x0000_i1059" type="#_x0000_t75" style="width:333pt;height:164.25pt"/>
        </w:pict>
      </w:r>
    </w:p>
    <w:p w:rsidR="00F338E8" w:rsidRDefault="006B1EFA">
      <w:pPr>
        <w:pStyle w:val="a3"/>
      </w:pPr>
      <w:r>
        <w:t>Таким образом, отставание России в научно-технологической сфере очевидно. Российский крупный бизнес остается не заинтересованным в развитии собственных прорывных технологий. Такая ситуация определяется ресурсоориентированной структурой экономики, в условиях которой массовые вливания государственных средств в НИОКР не способны качественно изменить положение. Существует мнение, что увеличение географической концентрации значительно усиливает остроту конкуренции между фирмами одной страны, что, в конечном счете, вынуждает</w:t>
      </w:r>
    </w:p>
    <w:p w:rsidR="00F338E8" w:rsidRDefault="006B1EFA">
      <w:pPr>
        <w:pStyle w:val="a3"/>
      </w:pPr>
      <w:r>
        <w:t>их ориентироваться на глобальные рынки и добиваться на них успеха [1]. Для качественного изменения сложившейся ситуации следует производить трансформацию институтов — привычек (habits), правил (rules) [2]; использовать новые формы научно-технического сотрудничества в рамках национальной инновационной системы, в том числе с привлечением иностранных агентов (компаний, вузов, государственных учреждений) (подробнее в работе Н.М. Межевича, Т.К. Прибышина [6]).</w:t>
      </w:r>
    </w:p>
    <w:p w:rsidR="00F338E8" w:rsidRDefault="006B1EFA">
      <w:pPr>
        <w:pStyle w:val="a3"/>
      </w:pPr>
      <w:r>
        <w:t>Список литературы</w:t>
      </w:r>
    </w:p>
    <w:p w:rsidR="00F338E8" w:rsidRDefault="006B1EFA">
      <w:pPr>
        <w:pStyle w:val="a3"/>
      </w:pPr>
      <w:r>
        <w:t>Гареев Т.Р. Кластеры в институциональной проекции: к теории и методологии локального социально-экономического развития // Балтийской регион. — 2012. — № 3(13). — С.7—33.</w:t>
      </w:r>
    </w:p>
    <w:p w:rsidR="00F338E8" w:rsidRDefault="006B1EFA">
      <w:pPr>
        <w:pStyle w:val="a3"/>
      </w:pPr>
      <w:r>
        <w:t>Гареев Т.Р. Экономическое зонирование: классические и институциональные аспекты развития (на примере ОЭЗ в Калининградской области) // Экономический вестник Ростовского государственного университета (Terra Economicus). — 2009. — Т. 7. — № 3. — С. 70—90.</w:t>
      </w:r>
    </w:p>
    <w:p w:rsidR="00F338E8" w:rsidRDefault="006B1EFA">
      <w:pPr>
        <w:pStyle w:val="a3"/>
      </w:pPr>
      <w:r>
        <w:t>Глазьев С.Ю. Развитие российской экономики в условиях глобальных технологических сдвигов [Электронный ресурс]. — URL: http:// spkurdyumov.narod.ru/GlazyevSUr.htm (дата обращения: 10.11.2012).</w:t>
      </w:r>
    </w:p>
    <w:p w:rsidR="00F338E8" w:rsidRDefault="006B1EFA">
      <w:pPr>
        <w:pStyle w:val="a3"/>
      </w:pPr>
      <w:r>
        <w:t>Индикаторы инновационной деятельности: 2007 — 2012: стат. сб. — М.: Национальный исследовательский университет «Высшая школа экономики» [Электронный ресурс]. — URL: http://www.hse.ru (дата обращения: 04.11.2012).</w:t>
      </w:r>
    </w:p>
    <w:p w:rsidR="00F338E8" w:rsidRDefault="006B1EFA">
      <w:pPr>
        <w:pStyle w:val="a3"/>
      </w:pPr>
      <w:r>
        <w:t>Ицковиц Г. Тройная спираль. Университеты — предприятия — государство. Инновации в действии / пер. с англ. под ред. А.Ф. Уварова. — Томск: Изд- во Томского гос. унс-та систем упр. и радиоэлектроники, 2010. — 238 с.</w:t>
      </w:r>
    </w:p>
    <w:p w:rsidR="00F338E8" w:rsidRDefault="006B1EFA">
      <w:pPr>
        <w:pStyle w:val="a3"/>
      </w:pPr>
      <w:r>
        <w:t>Межевич Н.М., Прибышин Т.К. Инновационная экономика в регионе Балтийского моря // Балтийский регион. — 2012. — №3 (13). — С. 59—72.</w:t>
      </w:r>
    </w:p>
    <w:p w:rsidR="00F338E8" w:rsidRDefault="006B1EFA">
      <w:pPr>
        <w:pStyle w:val="a3"/>
      </w:pPr>
      <w:r>
        <w:t>Официальный сайт статистического бюро Европейского союза Евростат [Электронный ресурс]. — URL: http://epp.eurostat.ec.europa. eu/portal/page/portal/science_technology_innovation/data/main_tables (дата обращения: 09.11.2012).</w:t>
      </w:r>
    </w:p>
    <w:p w:rsidR="00F338E8" w:rsidRDefault="006B1EFA">
      <w:pPr>
        <w:pStyle w:val="a3"/>
      </w:pPr>
      <w:r>
        <w:t>Статистика инноваций в России [Электронный ресурс]. — URL: http://www.gks.ru/free_doc/new_site/business/nauka/pril3.pdf (дата обращения: 04.11.2012).</w:t>
      </w:r>
    </w:p>
    <w:p w:rsidR="00F338E8" w:rsidRDefault="006B1EFA">
      <w:pPr>
        <w:pStyle w:val="a3"/>
      </w:pPr>
      <w:r>
        <w:t>«ЭКСПЕРТ» — ИННОВАЦИИ: Сборник аналитических материалов [Электронный ресурс]. — URL: http://raexpert.ru/researches/expert- inno/Zap_innovacii.indd.pdf (дата обращения: 31.08.2012).</w:t>
      </w:r>
    </w:p>
    <w:p w:rsidR="00F338E8" w:rsidRDefault="006B1EFA">
      <w:pPr>
        <w:pStyle w:val="a3"/>
      </w:pPr>
      <w:r>
        <w:t>OECD Science, Main Science and Technology Indicators [Электронныйресурс]. — URL: http://stats.oecd.org (датаобращения: 05.05.2013).</w:t>
      </w:r>
    </w:p>
    <w:p w:rsidR="00F338E8" w:rsidRDefault="006B1EFA">
      <w:pPr>
        <w:pStyle w:val="a3"/>
      </w:pPr>
      <w:r>
        <w:t>The 2012 EU Industrial R&amp;D Investment Scoreboard. European Commission, JRC/DGRTD [Электронный ресурс]. — URL: http://iri. jrc.ec.europa.eu/scoreboard12.html (дата обращения: 10.05.2013).</w:t>
      </w:r>
      <w:bookmarkStart w:id="0" w:name="_GoBack"/>
      <w:bookmarkEnd w:id="0"/>
    </w:p>
    <w:sectPr w:rsidR="00F338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EFA"/>
    <w:rsid w:val="00631CCD"/>
    <w:rsid w:val="006B1EFA"/>
    <w:rsid w:val="00F3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5F88C145-155B-4F52-A4D3-604B77DC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2185</Words>
  <Characters>12456</Characters>
  <Application>Microsoft Office Word</Application>
  <DocSecurity>0</DocSecurity>
  <Lines>103</Lines>
  <Paragraphs>29</Paragraphs>
  <ScaleCrop>false</ScaleCrop>
  <Company>diakov.net</Company>
  <LinksUpToDate>false</LinksUpToDate>
  <CharactersWithSpaces>14612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и проблемы развития научно-технологической сферы Российской Федерации в сравнении со странами Балтийского региона</dc:title>
  <dc:subject/>
  <dc:creator>Irina</dc:creator>
  <cp:keywords/>
  <dc:description/>
  <cp:lastModifiedBy>Irina</cp:lastModifiedBy>
  <cp:revision>2</cp:revision>
  <dcterms:created xsi:type="dcterms:W3CDTF">2014-07-19T04:48:00Z</dcterms:created>
  <dcterms:modified xsi:type="dcterms:W3CDTF">2014-07-19T04:48:00Z</dcterms:modified>
</cp:coreProperties>
</file>