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6A5" w:rsidRDefault="004F0947">
      <w:pPr>
        <w:pStyle w:val="a8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Финансовая академия при Правительстве</w:t>
      </w:r>
    </w:p>
    <w:p w:rsidR="009076A5" w:rsidRDefault="004F0947">
      <w:pPr>
        <w:pStyle w:val="a8"/>
        <w:rPr>
          <w:rFonts w:ascii="Courier New" w:hAnsi="Courier New"/>
          <w:sz w:val="32"/>
        </w:rPr>
      </w:pPr>
      <w:r>
        <w:rPr>
          <w:rFonts w:ascii="Courier New" w:hAnsi="Courier New"/>
          <w:sz w:val="32"/>
        </w:rPr>
        <w:t>Российской Федерации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4F0947">
      <w:pPr>
        <w:pStyle w:val="a8"/>
        <w:rPr>
          <w:rFonts w:ascii="Courier New" w:hAnsi="Courier New"/>
        </w:rPr>
      </w:pPr>
      <w:r>
        <w:rPr>
          <w:rFonts w:ascii="Courier New" w:hAnsi="Courier New"/>
        </w:rPr>
        <w:t>Кафедра права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4F0947">
      <w:pPr>
        <w:pStyle w:val="a8"/>
        <w:rPr>
          <w:sz w:val="36"/>
        </w:rPr>
      </w:pPr>
      <w:r>
        <w:rPr>
          <w:sz w:val="36"/>
        </w:rPr>
        <w:t>Реферат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4F0947">
      <w:pPr>
        <w:pStyle w:val="a8"/>
      </w:pPr>
      <w:r>
        <w:t>на тему: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4F0947">
      <w:pPr>
        <w:pStyle w:val="a8"/>
        <w:rPr>
          <w:rFonts w:ascii="AG_University" w:hAnsi="AG_University"/>
          <w:sz w:val="44"/>
        </w:rPr>
      </w:pPr>
      <w:r>
        <w:rPr>
          <w:rFonts w:ascii="AG_University" w:hAnsi="AG_University"/>
          <w:b/>
          <w:sz w:val="44"/>
        </w:rPr>
        <w:t>«Анализ проблем возмещения ущерба, причиненного незаконными действиями государственных органов»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4F0947">
      <w:pPr>
        <w:pStyle w:val="a8"/>
        <w:jc w:val="left"/>
      </w:pPr>
      <w:r>
        <w:t>Научный руководитель                                                                 Студент группы К2-3</w:t>
      </w:r>
    </w:p>
    <w:p w:rsidR="009076A5" w:rsidRDefault="004F0947">
      <w:pPr>
        <w:pStyle w:val="a8"/>
        <w:jc w:val="both"/>
      </w:pPr>
      <w:r>
        <w:t xml:space="preserve">Воробейников                                                                                 </w:t>
      </w: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pStyle w:val="a8"/>
        <w:rPr>
          <w:rFonts w:ascii="AG_University" w:hAnsi="AG_University"/>
          <w:sz w:val="36"/>
        </w:rPr>
      </w:pPr>
    </w:p>
    <w:p w:rsidR="009076A5" w:rsidRDefault="009076A5">
      <w:pPr>
        <w:jc w:val="both"/>
        <w:rPr>
          <w:lang w:val="ru-RU"/>
        </w:rPr>
      </w:pPr>
    </w:p>
    <w:p w:rsidR="009076A5" w:rsidRDefault="009076A5">
      <w:pPr>
        <w:jc w:val="both"/>
        <w:rPr>
          <w:lang w:val="ru-RU"/>
        </w:rPr>
      </w:pPr>
    </w:p>
    <w:p w:rsidR="009076A5" w:rsidRDefault="009076A5">
      <w:pPr>
        <w:jc w:val="both"/>
        <w:rPr>
          <w:lang w:val="ru-RU"/>
        </w:rPr>
      </w:pPr>
    </w:p>
    <w:p w:rsidR="009076A5" w:rsidRDefault="009076A5">
      <w:pPr>
        <w:jc w:val="both"/>
        <w:rPr>
          <w:lang w:val="ru-RU"/>
        </w:rPr>
      </w:pPr>
    </w:p>
    <w:p w:rsidR="009076A5" w:rsidRDefault="009076A5">
      <w:pPr>
        <w:jc w:val="both"/>
        <w:rPr>
          <w:lang w:val="ru-RU"/>
        </w:rPr>
      </w:pPr>
    </w:p>
    <w:p w:rsidR="009076A5" w:rsidRDefault="004F0947">
      <w:pPr>
        <w:pStyle w:val="3"/>
      </w:pPr>
      <w:r>
        <w:t>Москва, 1998</w:t>
      </w:r>
    </w:p>
    <w:p w:rsidR="009076A5" w:rsidRDefault="009076A5">
      <w:pPr>
        <w:jc w:val="both"/>
        <w:rPr>
          <w:lang w:val="ru-RU"/>
        </w:rPr>
      </w:pPr>
    </w:p>
    <w:p w:rsidR="009076A5" w:rsidRDefault="004F0947">
      <w:pPr>
        <w:pStyle w:val="a5"/>
      </w:pPr>
      <w:r>
        <w:t>В соответствии со ст. 1070 ГК РФ вред, причиненный в результате незаконного осуждения, незаконного привлечения к уголовной ответственности, незаконного применения в качестве меры пресечения заключение под стражу или подписки о невыезде, незаконного наложения административного изыскания в виде ареста или исправительных работ, возмещается в порядке, установленном законом.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Данный закон на сегодняшний день отсутствует, его подменяет Положение о порядке возмещения ущерба, причиненного гражданину незаконными действиями органов дознания, предварительного следствия, прокуратуры и суда, утвержденное Указом Президиума Верховного Суда СССР от 18.05.81 №4892. В положении и инструкции по его применению, 02.03.82 Министром юстиции СССР, Генеральным Прокурором СССР и Министром финансов СССР, установлено, что возмещение имущественного ущерба производится по чекам местных финансовых органов.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 xml:space="preserve">С другой стороны, в соответствии со ст. 1071 ГК РФ соответствующие финансовые органы выступают от имени казны Российской Федерации. Суды общей компетенции, принимая к исполнению дела о возмещении ущерба, причиненного органами государственной власти, привлекают в качестве ответчиков, руководствуясь указанной нормой, органы федерального казначейства. 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Налицо противоречие, которое необходимо разрешить.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 xml:space="preserve">В настоящее время имеется много пробелов в системе федеральных нормативных актов ввиду известных социально-экономических причин. Кроме того, для законодательно продекларированных гражданам материальных благ не создана не только материальная, но также нормативная и методологическая базы. 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Кроме граждан, от отсутствия законодательного регулирования порядка возмещения ущерба непосредственно страдает казна РФ. Суммы, присуждаемые судами в качестве компенсационного ущерба, увеличиваются от месяца к месяцу, причем зачастую рассуждения, на основании которых суд приходит к выводу о необходимости возмещения вреда именно за счет казны, весьма хитроумны, и вызывают сомнения в их правомерности. Возможно это диктуется абстрактностью термина, поскольку к казне, как предмету обезличенному, предъявить претензии проще и безопаснее, нежели, допустим, к местной администрации.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При анализе практики принятия судом решений о возмещении ущерба за счет казны РФ выявляется еще одна тенденция: суд, однажды приняв такое решение, продолжает принимать к рассмотрению аналогичные дела, с каждым разом все менее вникая в правовую оценку событий, находясь в плену ранее принятого прецедентного решения, и, как правило, не принимает во внимание интересы казны Российской Федерации.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Разумеется, необходимость возмещения ущерба, причиненного незаконным осуждением, незаконным привлечением к уголовной ответственности, никто не оспаривает. Поскольку суммы, выделяемые в федеральном бюджете на подобные компенсации, не являются прогнозируемыми, то от нерешенности ряда проблем, возникших в сфере правового регулирования таких возмещений, страдают в первую очередь истинно пострадавшие. Кроме того, данная ситуация ведет к возникновению правового нигилизма, неуважения к закону. Проблема состоит в том, что денежные средства, заложенные при ежегодном планировании, исчерпываются в результате исполнения судебных решений, подобных приведенным выше, а поиск нового источника в условиях экстремально тяжелого состояния с исполнением федерального бюджета практически невозможен.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Существующий проект Уголовно-процессуального кодекса Российской Федерации, разработанный в соответствии с положениями Конституции Российской Федерации и концепциями судебной реформы Российской Федерации, содержит новую главу о производстве возмещения вреда, причиненного незаконными действиями суда и органов, осуществляющих досудебное производство по уголовному делу.  Сам факт наличия подобного раздела в таком важнейшем нормативном источнике, как Уголовно-процессуальный кодекс, может быть расценен только положительно, и Кодекс должен стать дополнительной гарантией выполнения конституционной нормы о праве каждого гражданина на возмещение государством вреда, причиненного незаконными действиями (бездействием) государственных органов. Однако его содержание оставляет желать лучшее, явно свидетельствуя о недостаточном внимании к данной проблеме. Нормы, предусматривающие основания и условия возникновения права на возмещение вреда, характер и размер подлежащего возмещению ущерба, порядок его возмещения, в значительной степени составляют предмет гражданского права. Несмотря на это, положение ст. 1070 и 1071 ГК РФ, приведенные в начале реферата, в проекте не учтены.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>В проекте содержится норма, устанавливающая, что право гражданина на возмещение имущественного вреда переходит к наследникам в установленном порядке. Следует вспомнить, что ГК, принятый в 1964 году, не регулирует состав имущественных прав, переходящих по наследству, а упомянутая уголовно-процессуальная норма предполагает обязательную преюдицию нормами гражданского законодательства. Исходя из этого, возможность разночтений данной статьи в правоприменительной практике не ограничена.</w:t>
      </w:r>
    </w:p>
    <w:p w:rsidR="009076A5" w:rsidRDefault="004F0947">
      <w:pPr>
        <w:ind w:firstLine="720"/>
        <w:jc w:val="both"/>
        <w:rPr>
          <w:lang w:val="ru-RU"/>
        </w:rPr>
      </w:pPr>
      <w:r>
        <w:rPr>
          <w:lang w:val="ru-RU"/>
        </w:rPr>
        <w:t xml:space="preserve">Проект содержит перечень позиций, которые включают имущественный вред, подлежащий возмещению. Но, к сожалению, перечень не является исчерпывающим, поскольку «другие средства» и «иные расходы» допускают сколь угодно широкое толкование судами при рассмотрении конкретных дел о возмещении ущерба. Например, к выплате может быть присуждена сумма невыполнения договора из-за избрания мерой пресечения заключения под стражу. </w:t>
      </w: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4F0947">
      <w:pPr>
        <w:pStyle w:val="1"/>
      </w:pPr>
      <w:r>
        <w:t>Список литературы</w:t>
      </w:r>
    </w:p>
    <w:p w:rsidR="009076A5" w:rsidRDefault="009076A5">
      <w:pPr>
        <w:ind w:firstLine="720"/>
        <w:jc w:val="both"/>
        <w:rPr>
          <w:lang w:val="ru-RU"/>
        </w:rPr>
      </w:pPr>
    </w:p>
    <w:p w:rsidR="009076A5" w:rsidRDefault="004F0947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lang w:val="ru-RU"/>
        </w:rPr>
      </w:pPr>
      <w:r>
        <w:rPr>
          <w:lang w:val="ru-RU"/>
        </w:rPr>
        <w:t>Гражданский Кодекс Российской Федерации</w:t>
      </w:r>
    </w:p>
    <w:p w:rsidR="009076A5" w:rsidRDefault="004F0947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lang w:val="ru-RU"/>
        </w:rPr>
      </w:pPr>
      <w:r>
        <w:rPr>
          <w:lang w:val="ru-RU"/>
        </w:rPr>
        <w:t>Указ Президиума Верховного Суда СССР от 18.05.81 г. №4892</w:t>
      </w:r>
    </w:p>
    <w:p w:rsidR="009076A5" w:rsidRDefault="004F0947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lang w:val="ru-RU"/>
        </w:rPr>
      </w:pPr>
      <w:r>
        <w:rPr>
          <w:lang w:val="ru-RU"/>
        </w:rPr>
        <w:t xml:space="preserve">Инструкция по применению Положения о порядке возмещения ущерба, причиненному гражданину незаконными действиями органов дознания, предварительного следствия, прокуратуры и суда </w:t>
      </w:r>
      <w:r>
        <w:t>[</w:t>
      </w:r>
      <w:r>
        <w:rPr>
          <w:lang w:val="ru-RU"/>
        </w:rPr>
        <w:t>взято из базы данных «Консультант +» в интернет-версии</w:t>
      </w:r>
      <w:r>
        <w:t>]</w:t>
      </w:r>
    </w:p>
    <w:p w:rsidR="009076A5" w:rsidRDefault="004F0947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jc w:val="both"/>
        <w:rPr>
          <w:lang w:val="ru-RU"/>
        </w:rPr>
      </w:pPr>
      <w:r>
        <w:rPr>
          <w:lang w:val="ru-RU"/>
        </w:rPr>
        <w:t>Закон «О собственности»</w:t>
      </w:r>
      <w:bookmarkStart w:id="0" w:name="_GoBack"/>
      <w:bookmarkEnd w:id="0"/>
    </w:p>
    <w:sectPr w:rsidR="009076A5">
      <w:headerReference w:type="even" r:id="rId7"/>
      <w:headerReference w:type="default" r:id="rId8"/>
      <w:pgSz w:w="11907" w:h="16840"/>
      <w:pgMar w:top="851" w:right="851" w:bottom="96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6A5" w:rsidRDefault="004F0947">
      <w:r>
        <w:separator/>
      </w:r>
    </w:p>
  </w:endnote>
  <w:endnote w:type="continuationSeparator" w:id="0">
    <w:p w:rsidR="009076A5" w:rsidRDefault="004F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_University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6A5" w:rsidRDefault="004F0947">
      <w:r>
        <w:separator/>
      </w:r>
    </w:p>
  </w:footnote>
  <w:footnote w:type="continuationSeparator" w:id="0">
    <w:p w:rsidR="009076A5" w:rsidRDefault="004F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A5" w:rsidRDefault="004F09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9076A5" w:rsidRDefault="009076A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6A5" w:rsidRDefault="004F094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9076A5" w:rsidRDefault="009076A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D2D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0947"/>
    <w:rsid w:val="004F0947"/>
    <w:rsid w:val="009076A5"/>
    <w:rsid w:val="00ED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D3626-37C0-4ED1-8A6F-7A4BDA348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lang w:val="en-US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rFonts w:ascii="AG_University" w:hAnsi="AG_University"/>
      <w:sz w:val="36"/>
      <w:lang w:val="ru-RU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ourier New" w:hAnsi="Courier New"/>
      <w:snapToGrid w:val="0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paragraph" w:styleId="a4">
    <w:name w:val="Body Text"/>
    <w:basedOn w:val="a"/>
    <w:semiHidden/>
    <w:pPr>
      <w:jc w:val="center"/>
    </w:pPr>
    <w:rPr>
      <w:lang w:val="ru-RU"/>
    </w:rPr>
  </w:style>
  <w:style w:type="paragraph" w:styleId="a5">
    <w:name w:val="Body Text Indent"/>
    <w:basedOn w:val="a"/>
    <w:semiHidden/>
    <w:pPr>
      <w:ind w:firstLine="720"/>
      <w:jc w:val="both"/>
    </w:pPr>
    <w:rPr>
      <w:lang w:val="ru-RU"/>
    </w:rPr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</w:style>
  <w:style w:type="paragraph" w:styleId="a8">
    <w:name w:val="Title"/>
    <w:basedOn w:val="a"/>
    <w:qFormat/>
    <w:pPr>
      <w:jc w:val="center"/>
    </w:pPr>
    <w:rPr>
      <w:snapToGrid w:val="0"/>
      <w:sz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проблем возмещения ущерба, причиненного незаконными действиями государственных органов</vt:lpstr>
    </vt:vector>
  </TitlesOfParts>
  <Company>Chumik &amp; Co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проблем возмещения ущерба, причиненного незаконными действиями государственных органов</dc:title>
  <dc:subject/>
  <dc:creator>Чуменко</dc:creator>
  <cp:keywords/>
  <cp:lastModifiedBy>admin</cp:lastModifiedBy>
  <cp:revision>2</cp:revision>
  <dcterms:created xsi:type="dcterms:W3CDTF">2014-02-03T16:24:00Z</dcterms:created>
  <dcterms:modified xsi:type="dcterms:W3CDTF">2014-02-03T16:24:00Z</dcterms:modified>
</cp:coreProperties>
</file>