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1" w:rsidRDefault="002D7625">
      <w:pPr>
        <w:pStyle w:val="1"/>
        <w:jc w:val="center"/>
      </w:pPr>
      <w:r>
        <w:t>Особенности структуры медицинских учреждений Санкт-Петербурга на современном этапе развития города</w:t>
      </w:r>
    </w:p>
    <w:p w:rsidR="00291641" w:rsidRPr="002D7625" w:rsidRDefault="002D7625">
      <w:pPr>
        <w:pStyle w:val="a3"/>
      </w:pPr>
      <w:r>
        <w:t> </w:t>
      </w:r>
    </w:p>
    <w:p w:rsidR="00291641" w:rsidRDefault="002D7625">
      <w:pPr>
        <w:pStyle w:val="a3"/>
      </w:pPr>
      <w:r>
        <w:t>К.П.Яблонский, А.Х.Алборов, А.О.Чичкова, К.И.Русакевич, П.А.Васильев</w:t>
      </w:r>
    </w:p>
    <w:p w:rsidR="00291641" w:rsidRDefault="002D7625">
      <w:pPr>
        <w:pStyle w:val="a3"/>
      </w:pPr>
      <w:r>
        <w:t>Медицинский информационно-аналитический центр, Санкт-Петербург Санкт-Петербургский государственный университет</w:t>
      </w:r>
    </w:p>
    <w:p w:rsidR="00291641" w:rsidRDefault="002D7625">
      <w:pPr>
        <w:pStyle w:val="a3"/>
      </w:pPr>
      <w:r>
        <w:t>Программа модернизации здравоохранения в 2011-2012 гг. как в Российской Федерации в целом, так и в Санкт-Петербурге в частности, предусматривает три основных направления: укрепление материально-технической базы медицинских учреждений, внедрение современных информационных систем в здравоохранение и разработку с реализацией стандартов оказания медицинской помощи, предоставляемой врачами-специалистами. Необходимость решения перечисленных задач очевидна, однако на федеральном уровне в программе не учитываются особенности существующей структуры медицинских учреждений в регионах России. Для Санкт- Петербурга это один из ключевых моментов, оказывающих существенное влияние на реализацию программы, так как обеспеченность и доступность медицинской помощи для населения данного мегаполиса, рассчитываемые как сопоставление демографических показателей и географических особенностей структуры медицинских учреждений, могут послужить основой для структурных преобразований в системе здравоохранения города.</w:t>
      </w:r>
    </w:p>
    <w:p w:rsidR="00291641" w:rsidRDefault="002D7625">
      <w:pPr>
        <w:pStyle w:val="a3"/>
      </w:pPr>
      <w:r>
        <w:t>Цель нашего исследования — изучить особенности структуры медицинских учреждений Санкт-Петербурга для оценки их возможного влияния на ход реализации региональной программы модернизации здравоохранения на современном этапе развития общества.</w:t>
      </w:r>
    </w:p>
    <w:p w:rsidR="00291641" w:rsidRDefault="002D7625">
      <w:pPr>
        <w:pStyle w:val="a3"/>
      </w:pPr>
      <w:r>
        <w:t>Материал и методы исследования</w:t>
      </w:r>
    </w:p>
    <w:p w:rsidR="00291641" w:rsidRDefault="002D7625">
      <w:pPr>
        <w:pStyle w:val="a3"/>
      </w:pPr>
      <w:r>
        <w:t>Проанализирована база данных лечебнопрофилактических учреждений (ЛПУ), располагающихся на территории Санкт-Петербурга, сформированная в рамках подготовки Программы модернизации здравоохранения города в 2011-2012 гг. Учитывая тот факт, что основные объемы медицинской помощи населению Санкт-Петербурга оказываются медицинскими учреждениями, включенными в программу государственных гарантий, были проанализированы только ЛПУ, входящие в систему ОМС. Всего на территории Санкт-Петербурга расположены 350 таких учреждений здравоохранения (УЗ) разного подчинения (табл.1).</w:t>
      </w:r>
    </w:p>
    <w:p w:rsidR="00291641" w:rsidRDefault="002D7625">
      <w:pPr>
        <w:pStyle w:val="a3"/>
      </w:pPr>
      <w:r>
        <w:t>Таблица 1</w:t>
      </w:r>
    </w:p>
    <w:p w:rsidR="00291641" w:rsidRDefault="002D7625">
      <w:pPr>
        <w:pStyle w:val="a3"/>
      </w:pPr>
      <w:r>
        <w:t>Количество ЛПУ в СПб по уровням подчинения</w:t>
      </w:r>
    </w:p>
    <w:p w:rsidR="00291641" w:rsidRDefault="002D7625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291641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Уровни подчинения</w:t>
            </w:r>
          </w:p>
        </w:tc>
        <w:tc>
          <w:tcPr>
            <w:tcW w:w="0" w:type="auto"/>
            <w:vAlign w:val="center"/>
            <w:hideMark/>
          </w:tcPr>
          <w:p w:rsidR="00291641" w:rsidRPr="002D7625" w:rsidRDefault="002D7625">
            <w:pPr>
              <w:pStyle w:val="a3"/>
            </w:pPr>
            <w:r w:rsidRPr="002D7625">
              <w:t>Количество</w:t>
            </w:r>
          </w:p>
          <w:p w:rsidR="00291641" w:rsidRPr="002D7625" w:rsidRDefault="002D7625">
            <w:pPr>
              <w:pStyle w:val="a3"/>
            </w:pPr>
            <w:r w:rsidRPr="002D7625">
              <w:t>учреждений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Федеральный (ФУЗ)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41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Региональный (ГУЗ)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116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Муниципальный (МУЗ)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180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Частный (ЧУЗ)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13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350</w:t>
            </w:r>
          </w:p>
        </w:tc>
      </w:tr>
    </w:tbl>
    <w:p w:rsidR="00291641" w:rsidRPr="002D7625" w:rsidRDefault="002D7625">
      <w:pPr>
        <w:pStyle w:val="a3"/>
      </w:pPr>
      <w:r>
        <w:t>В ходе работы создано несколько карт расположения УЗ в Санкт-Петербурге, используя которые можно продемонстрировать особенности размещения медицинских учреждений Санкт-Петербурга различных специализаций и лицензионных рангов на современном этапе развития города (картографический метод). Кроме того созданы интерактивные карты с использованием геоинформационных технологий, которые позволяют получить исчерпывающую информацию о любом из 350 учреждений здравоохранения в Санкт-Петербурге в режиме реального времени (геоинформационный метод). При выполнении работы изучены демографические показатели по Санкт-Петербургу на основе статистических данных Петростата за период с 2000 по 2010 гг.</w:t>
      </w:r>
    </w:p>
    <w:p w:rsidR="00291641" w:rsidRDefault="002D7625">
      <w:pPr>
        <w:pStyle w:val="a3"/>
      </w:pPr>
      <w:r>
        <w:t>Показатели обеспеченности населения города медицинской помощью сопоставлены в ракурсе оценки количества и специализации ЛПУ с действующими нормативами [1,2].</w:t>
      </w:r>
    </w:p>
    <w:p w:rsidR="00291641" w:rsidRDefault="002D7625">
      <w:pPr>
        <w:pStyle w:val="a3"/>
      </w:pPr>
      <w:r>
        <w:t>Результаты и их обсуждение</w:t>
      </w:r>
    </w:p>
    <w:p w:rsidR="00291641" w:rsidRDefault="002D7625">
      <w:pPr>
        <w:pStyle w:val="a3"/>
      </w:pPr>
      <w:r>
        <w:t>В число 41 ФУЗ входят клиники и клинические больницы, НИИ, образовательные учреждения Мин- здравсоцразвития, Минобороны, Минобразования РФ и Российской Академии медицинских наук. Они сосредоточены в основном в центральной части города: 24 из них расположены в пяти центральных районах Санкт-Петербурга — Василеостровском, Центральном, Адмиралтейском, Петроградском, Невском, тогда как в других 13 районах размещены всего 17 ФУЗ.</w:t>
      </w:r>
    </w:p>
    <w:p w:rsidR="00291641" w:rsidRDefault="002D7625">
      <w:pPr>
        <w:pStyle w:val="a3"/>
      </w:pPr>
      <w:r>
        <w:t>В структуре 116 медицинских учреждений, подведомственных Комитету по здравоохранению Санкт-Петербурга (ГУЗ) в соответствии с приказом Минздравсоцразвития РФ №627 от 07.10.2005 [2] находятся 39 больничных учреждений, 12 амбулаторнополиклинических учреждений, 8 диспансеров, 14 санаторно-курортных учреждений, 8 учреждений охраны материнства и детства, 2 учреждения скорой медицинской помощи и переливания крови, 18 центров и 2 бюро. ГУЗ располагаются столь же неравномерно, как и ФУЗ: 65 из них находятся в 6 районах города — Адмиралтейском, Василеостровском, Московском, Петроградском, Фрунзенском, Центральном. В Санкт-Петербурге имеется 13 медицинских учреждений, которые нельзя отнести ни к одному виду медицинских учреждений согласно номенклатуре государственных и муниципальных учреждений здравоохранения. Большинство из них является средними специальными образовательными учреждениями и не оказывают медицинской помощи населению города. Поэтому они не учитывались при расчете показателей обеспеченности жителей Санкт-Петербурга медицинской помощью.</w:t>
      </w:r>
    </w:p>
    <w:p w:rsidR="00291641" w:rsidRDefault="002D7625">
      <w:pPr>
        <w:pStyle w:val="a3"/>
      </w:pPr>
      <w:r>
        <w:t>Из 180 муниципальным УЗ 10 — больничные, 108 — амбулаторные и поликлинические, 36 — диспансеры, 3 — санаторно-курортные учреждения, 17 — учреждения охраны материнства и детства, 3 — станции скорой медицинской помощи и 3 — диагностические и консультативно-диагностические центры. Несмотря на кажущуюся равномерность расположения МУЗ в некоторых районах города их чрезвычайно мало (в Курортном и Кронштадтском — 3 подобных учреждения).</w:t>
      </w:r>
    </w:p>
    <w:p w:rsidR="00291641" w:rsidRDefault="002D7625">
      <w:pPr>
        <w:pStyle w:val="a3"/>
      </w:pPr>
      <w:r>
        <w:t>Сведения об обеспеченности населения Санкт- Петербурга амбулаторно-поликлиническими учреждениями отражены в табл. 2.</w:t>
      </w:r>
    </w:p>
    <w:p w:rsidR="00291641" w:rsidRDefault="002D7625">
      <w:pPr>
        <w:pStyle w:val="a3"/>
      </w:pPr>
      <w:r>
        <w:t>Таблица 2</w:t>
      </w:r>
    </w:p>
    <w:p w:rsidR="00291641" w:rsidRDefault="002D7625">
      <w:pPr>
        <w:pStyle w:val="a3"/>
      </w:pPr>
      <w:r>
        <w:t>Показатели обеспеченности населения Санкт- Петербурга учреждениями амбулаторнополиклинической помощи (нормативная обеспеченность — 10 тыс. чел / 1 мед. учреждение (МУ))</w:t>
      </w:r>
    </w:p>
    <w:p w:rsidR="00291641" w:rsidRDefault="002D7625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291641">
        <w:trPr>
          <w:trHeight w:val="765"/>
          <w:tblCellSpacing w:w="0" w:type="dxa"/>
        </w:trPr>
        <w:tc>
          <w:tcPr>
            <w:tcW w:w="0" w:type="auto"/>
            <w:vAlign w:val="center"/>
            <w:hideMark/>
          </w:tcPr>
          <w:p w:rsidR="00291641" w:rsidRPr="002D7625" w:rsidRDefault="002D7625">
            <w:pPr>
              <w:pStyle w:val="a3"/>
            </w:pPr>
            <w:r w:rsidRPr="002D7625">
              <w:t>Районы</w:t>
            </w:r>
          </w:p>
          <w:p w:rsidR="00291641" w:rsidRPr="002D7625" w:rsidRDefault="002D7625">
            <w:pPr>
              <w:pStyle w:val="a3"/>
            </w:pPr>
            <w:r w:rsidRPr="002D7625">
              <w:t>Санкт-Петербурга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Реальная обеспеченность, чел./1 МУ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Расхождение с нормативом, чел./1 МУ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Адмиралтейский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18923,89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-8923,89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Василеостровский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32519,17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-22519,17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Выборгский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34170,25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-24170,25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Калининский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50776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-40776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Кировский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45731,29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-35731,29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Колпинский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30599,33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-20599,33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Красногвардейский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53938,83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-43938,83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Красносельский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76950,25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-66950,25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Кронштадтский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42755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-32755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Курортный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-10000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Московский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41470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-31470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Невский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31411,50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-21411,5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Петроградский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13865,56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-3865,56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Петродворцовый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29229,75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-19229,75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Приморский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51976,13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-41976,13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Пушкинский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41599,33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-31599,33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Фрунзенский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43442,22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-33442,22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Центральный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27318,50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-17318,5</w:t>
            </w:r>
          </w:p>
        </w:tc>
      </w:tr>
      <w:tr w:rsidR="00291641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Как видим,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ни в одном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районе Санкт-</w:t>
            </w:r>
          </w:p>
        </w:tc>
      </w:tr>
    </w:tbl>
    <w:p w:rsidR="00291641" w:rsidRPr="002D7625" w:rsidRDefault="002D7625">
      <w:pPr>
        <w:pStyle w:val="a3"/>
      </w:pPr>
      <w:r>
        <w:t>Петербурга население не обеспечено в соответствии с нормативами амбулаторно-поликлинической помощи. Причем превышение нагрузки на одно медицинское учреждение данного типа по сравнению с нормативом составляет от 1,3 раза в Петроградском районе до 7,6 раза в Красносельском.</w:t>
      </w:r>
    </w:p>
    <w:p w:rsidR="00291641" w:rsidRDefault="002D7625">
      <w:pPr>
        <w:pStyle w:val="a3"/>
      </w:pPr>
      <w:r>
        <w:t>Сведения о доступности амбулаторно-поликлинической помощи жителям Санкт-Петербурга представлены в табл.3.</w:t>
      </w:r>
    </w:p>
    <w:p w:rsidR="00291641" w:rsidRDefault="002D7625">
      <w:pPr>
        <w:pStyle w:val="a3"/>
      </w:pPr>
      <w:r>
        <w:t>Таблица 3</w:t>
      </w:r>
    </w:p>
    <w:p w:rsidR="00291641" w:rsidRDefault="002D7625">
      <w:pPr>
        <w:pStyle w:val="a3"/>
      </w:pPr>
      <w:r>
        <w:t>Показатели географической доступности амбулаторнополиклинической помощи для населения Санкт-Петербурга (нормативная доступность — 6,3 кв. км / 1 МУ)</w:t>
      </w:r>
    </w:p>
    <w:p w:rsidR="00291641" w:rsidRDefault="002D7625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291641">
        <w:trPr>
          <w:trHeight w:val="780"/>
          <w:tblCellSpacing w:w="0" w:type="dxa"/>
        </w:trPr>
        <w:tc>
          <w:tcPr>
            <w:tcW w:w="0" w:type="auto"/>
            <w:vAlign w:val="center"/>
            <w:hideMark/>
          </w:tcPr>
          <w:p w:rsidR="00291641" w:rsidRPr="002D7625" w:rsidRDefault="002D7625">
            <w:pPr>
              <w:pStyle w:val="a3"/>
            </w:pPr>
            <w:r w:rsidRPr="002D7625">
              <w:t>Районы</w:t>
            </w:r>
          </w:p>
          <w:p w:rsidR="00291641" w:rsidRPr="002D7625" w:rsidRDefault="002D7625">
            <w:pPr>
              <w:pStyle w:val="a3"/>
            </w:pPr>
            <w:r w:rsidRPr="002D7625">
              <w:t>Санкт-Петербурга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Реальная доступность, кв. км / 1 МУ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Расхождение с нормативом, кв. км / 1 МУ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Адмиралтейский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1,54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4,76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Василеостровский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2,44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3,86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Выборгский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9,62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-3,32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Калининский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4,46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1,84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Кировский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6,86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-0,56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Колпинский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17,63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-11,33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Красногвардейский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9,47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-3,17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Красносельский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28,75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-22,45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Кронштадтский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19,35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-13,05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Курортный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—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Московский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10,15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-3,85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Невский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4,41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1,89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Петроградский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2,67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3,63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Петродворцовый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28,84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-22,54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Приморский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13,73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-7,43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Пушкинский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79,98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-73,68</w:t>
            </w:r>
          </w:p>
        </w:tc>
      </w:tr>
      <w:tr w:rsidR="0029164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Фрунзенский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4,16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2,14</w:t>
            </w:r>
          </w:p>
        </w:tc>
      </w:tr>
      <w:tr w:rsidR="0029164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Центральный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2,14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4,16</w:t>
            </w:r>
          </w:p>
        </w:tc>
      </w:tr>
    </w:tbl>
    <w:p w:rsidR="00291641" w:rsidRPr="002D7625" w:rsidRDefault="002D7625">
      <w:pPr>
        <w:pStyle w:val="a3"/>
      </w:pPr>
      <w:r>
        <w:t>Из табл.3 следует, что в ряде районов Санкт- Петербурга (Адмиралтейском, Василеостровском, Калининском, Невском, Петроградском, Фрунзенском, Центральном) наблюдается явное перенасыщение амбулаторно-поликлиническими учреждениями, тогда как в Выборгском, Кировском, Кол- пинском, Красногвардейском, Кронштадтском, Московском, Петродворцовом, Приморском, Пушкинском районах количество таких медицинских учреждений очевидно недостаточно, причем в последнем из них норматив доступности превышен более чем в 12 раз.</w:t>
      </w:r>
    </w:p>
    <w:p w:rsidR="00291641" w:rsidRDefault="002D7625">
      <w:pPr>
        <w:pStyle w:val="a3"/>
      </w:pPr>
      <w:r>
        <w:t>Расчет среднего расстояния между АПУ может служить интегральным показателем дорожнотранспортной доступности населения к поликлиникам и амбулаториям. Этот показатель в пределах Санкт-Петербурга колеблется от 1 до 9 км, что, очевидно, не может не сказываться на обеспеченности населения медицинской помощью.</w:t>
      </w:r>
    </w:p>
    <w:p w:rsidR="00291641" w:rsidRDefault="002D7625">
      <w:pPr>
        <w:pStyle w:val="a3"/>
      </w:pPr>
      <w:r>
        <w:t>Сведения о доступности стационарной помощи для населения Санкт-Петербурга представлены в табл.4.</w:t>
      </w:r>
    </w:p>
    <w:p w:rsidR="00291641" w:rsidRDefault="002D7625">
      <w:pPr>
        <w:pStyle w:val="a3"/>
      </w:pPr>
      <w:r>
        <w:t>Таблица 4</w:t>
      </w:r>
    </w:p>
    <w:p w:rsidR="00291641" w:rsidRDefault="002D7625">
      <w:pPr>
        <w:pStyle w:val="a3"/>
      </w:pPr>
      <w:r>
        <w:t>Показатели доступности стационарной медицинской помощи для населения Санкт-Петербурга</w:t>
      </w:r>
    </w:p>
    <w:p w:rsidR="00291641" w:rsidRDefault="002D7625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291641">
        <w:trPr>
          <w:trHeight w:val="765"/>
          <w:tblCellSpacing w:w="0" w:type="dxa"/>
        </w:trPr>
        <w:tc>
          <w:tcPr>
            <w:tcW w:w="0" w:type="auto"/>
            <w:vAlign w:val="center"/>
            <w:hideMark/>
          </w:tcPr>
          <w:p w:rsidR="00291641" w:rsidRPr="002D7625" w:rsidRDefault="002D7625">
            <w:pPr>
              <w:pStyle w:val="a3"/>
            </w:pPr>
            <w:r w:rsidRPr="002D7625">
              <w:t>Районы</w:t>
            </w:r>
          </w:p>
          <w:p w:rsidR="00291641" w:rsidRPr="002D7625" w:rsidRDefault="002D7625">
            <w:pPr>
              <w:pStyle w:val="a3"/>
            </w:pPr>
            <w:r w:rsidRPr="002D7625">
              <w:t>Санкт-Петербурга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Реальная обеспеченность, чел./1 МУ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Реальная доступность, кв. км / 1 МУ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Адмиралтейский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28385,83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2,3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Василеостровский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39023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2,93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Выборгский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45560,33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12,82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Калининский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91396,8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8,02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Кировский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320119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48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Колпинский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45899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26,45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Красногвардейский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323633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56,83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Красносельский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153900,5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57,5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Кронштадтский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42755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19,35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Курортный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34010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133,96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Московский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145145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35,54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Невский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146587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20,6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Петроградский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24958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4,8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Петродворцовый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116919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115,34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Приморский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207904,5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54,94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Пушкинский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41599,33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79,98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Фрунзенский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195490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18,74</w:t>
            </w:r>
          </w:p>
        </w:tc>
      </w:tr>
      <w:tr w:rsidR="0029164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91641" w:rsidRDefault="002D7625">
            <w:r>
              <w:t>Центральный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19868</w:t>
            </w:r>
          </w:p>
        </w:tc>
        <w:tc>
          <w:tcPr>
            <w:tcW w:w="0" w:type="auto"/>
            <w:vAlign w:val="center"/>
            <w:hideMark/>
          </w:tcPr>
          <w:p w:rsidR="00291641" w:rsidRDefault="002D7625">
            <w:r>
              <w:t>1,56</w:t>
            </w:r>
          </w:p>
        </w:tc>
      </w:tr>
    </w:tbl>
    <w:p w:rsidR="00291641" w:rsidRPr="002D7625" w:rsidRDefault="002D7625">
      <w:pPr>
        <w:pStyle w:val="a3"/>
      </w:pPr>
      <w:r>
        <w:t>Как видим, стационары в Санкт-Петербурге также расположены неравномерно. В основном больничные учреждения находятся в Центральном (11) и в Выборгском (9) районах города. Однако учитывая, что Выборгский район по показателю нормативной площади превосходит Центральный район более чем в 6 раз, а по численности населения — почти в 2 раза, приходится констатировать, что доступность стационарной помощи жителям в данных районах существенно различается.</w:t>
      </w:r>
    </w:p>
    <w:p w:rsidR="00291641" w:rsidRDefault="002D7625">
      <w:pPr>
        <w:pStyle w:val="a3"/>
      </w:pPr>
      <w:r>
        <w:t>В Адмиралтейском, Василеостровском, Калининском, Колпинском и Петроградском районах при почти одинаковом количестве больничных учреждений (от 4 в Колпинском до 6 в Адмиралтейском) географическая (а следовательно, и транспортная) доступность ЛПУ, как свидетельствует табл.4, колеблется в широких пределах.</w:t>
      </w:r>
    </w:p>
    <w:p w:rsidR="00291641" w:rsidRDefault="002D7625">
      <w:pPr>
        <w:pStyle w:val="a3"/>
      </w:pPr>
      <w:r>
        <w:t>В ряде других районов Санкт-Петербурга, на территории которых располагается менее трех больниц, констатируются еще более низкие показатели доступности и обеспеченности населения медицинскими заведениями.</w:t>
      </w:r>
    </w:p>
    <w:p w:rsidR="00291641" w:rsidRDefault="002D7625">
      <w:pPr>
        <w:pStyle w:val="a3"/>
      </w:pPr>
      <w:r>
        <w:t>В целом результаты проведенного исследования позволяют констатировать, что показатели обеспеченности населения Санкт-Петербурга ЛПУ и их географическая доступность значительно отличаются в разных районах города, что не может не отражаться на качестве оказания медицинской помощи его жителям и не влиять на ход выполнения программы модернизации.</w:t>
      </w:r>
    </w:p>
    <w:p w:rsidR="00291641" w:rsidRDefault="002D7625">
      <w:pPr>
        <w:pStyle w:val="a3"/>
      </w:pPr>
      <w:r>
        <w:t>Нельзя не признать, что сложившаяся структура лечебно-профилактических учреждений Санкт- Петербурга не в полной мере соответствует территориальным, административным, демографическим и другим параметрам жизнедеятельности города. При этом к числу преимуществ можно отнести сохранение исторически сложившейся структуры ЛПУ Санкт-Петербурга; многопрофильность и доступность специализированной помощи в большинстве больниц (55,2%) городского и муниципального подчинения; сосредоточение в городе значительного (20%) количества медицинских учреждений федерального уровня. А бесспорными структурными недостатками являются нерациональное сосредоточение однопрофильных клиник на ограниченных территориях города; ведомственная разобщенность медицинских учреждений, относящихся к ряду министерств и РАМН; неоднозначная плотность медицинских заведений в разных административных районах города.</w:t>
      </w:r>
    </w:p>
    <w:p w:rsidR="00291641" w:rsidRDefault="002D7625">
      <w:pPr>
        <w:pStyle w:val="a3"/>
      </w:pPr>
      <w:r>
        <w:t>Одним из ресурсов повышения доступности медицинской помощи для населения Санкт-Петербурга в рамках существующей структуры ЛПУ может стать ослабление ведомственных ограничений маршрутизации пациентов при направлении их на лечение.</w:t>
      </w:r>
    </w:p>
    <w:p w:rsidR="00291641" w:rsidRDefault="002D7625">
      <w:pPr>
        <w:pStyle w:val="a3"/>
      </w:pPr>
      <w:r>
        <w:t>Заключение</w:t>
      </w:r>
    </w:p>
    <w:p w:rsidR="00291641" w:rsidRDefault="002D7625">
      <w:pPr>
        <w:pStyle w:val="a3"/>
      </w:pPr>
      <w:r>
        <w:t>Совершенствование структуры лечебнопрофилактических учреждений Санкт-Петербурга осуществляется постоянно и в процессе реализации Программы модернизации здравоохранения должно вывести деятельность медицинских работников города на новый эффективный уровень с сокращением финансовых издержек на оказание медицинской помощи населению и повышением ее качества.</w:t>
      </w:r>
    </w:p>
    <w:p w:rsidR="00291641" w:rsidRDefault="002D7625">
      <w:pPr>
        <w:pStyle w:val="a3"/>
      </w:pPr>
      <w:r>
        <w:t>Список литературы</w:t>
      </w:r>
    </w:p>
    <w:p w:rsidR="00291641" w:rsidRDefault="002D7625">
      <w:pPr>
        <w:pStyle w:val="a3"/>
      </w:pPr>
      <w:r>
        <w:t>СНиП 2.07.01-89 — Градостроительство. Планировка и застройка городских и сельских поселений // Информ. бюл. «Нормирование в строительстве и ЖКХ». 2001. №2</w:t>
      </w:r>
    </w:p>
    <w:p w:rsidR="00291641" w:rsidRDefault="002D7625">
      <w:pPr>
        <w:pStyle w:val="a3"/>
      </w:pPr>
      <w:r>
        <w:t>Приказ №627 Министерства здравоохранения и социального развития Российской Федерации от 7 октября 2005 г. «Об утверждении единой номенклатуры государственных и муниципальных учреждений здравоохранения» // Бюллетень нормативных актов федеральных органов исполнительной власти. 17.10.2005. №42.</w:t>
      </w:r>
      <w:bookmarkStart w:id="0" w:name="_GoBack"/>
      <w:bookmarkEnd w:id="0"/>
    </w:p>
    <w:sectPr w:rsidR="002916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625"/>
    <w:rsid w:val="00291641"/>
    <w:rsid w:val="002D7625"/>
    <w:rsid w:val="00D3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4C8F9-1EB9-4B3A-97B8-1AEE07F4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1792</Words>
  <Characters>10216</Characters>
  <Application>Microsoft Office Word</Application>
  <DocSecurity>0</DocSecurity>
  <Lines>85</Lines>
  <Paragraphs>23</Paragraphs>
  <ScaleCrop>false</ScaleCrop>
  <Company>diakov.net</Company>
  <LinksUpToDate>false</LinksUpToDate>
  <CharactersWithSpaces>11985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структуры медицинских учреждений Санкт-Петербурга на современном этапе развития города</dc:title>
  <dc:subject/>
  <dc:creator>Irina</dc:creator>
  <cp:keywords/>
  <dc:description/>
  <cp:lastModifiedBy>Irina</cp:lastModifiedBy>
  <cp:revision>2</cp:revision>
  <dcterms:created xsi:type="dcterms:W3CDTF">2014-08-02T20:09:00Z</dcterms:created>
  <dcterms:modified xsi:type="dcterms:W3CDTF">2014-08-02T20:09:00Z</dcterms:modified>
</cp:coreProperties>
</file>