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69" w:rsidRPr="00FC6C58" w:rsidRDefault="009F4069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F4069" w:rsidRPr="00FC6C58" w:rsidRDefault="009F4069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F4069" w:rsidRPr="00FC6C58" w:rsidRDefault="009F4069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F4069" w:rsidRPr="00FC6C58" w:rsidRDefault="009F4069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F4069" w:rsidRPr="00FC6C58" w:rsidRDefault="009F4069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F4069" w:rsidRPr="00FC6C58" w:rsidRDefault="009F4069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F4069" w:rsidRPr="00FC6C58" w:rsidRDefault="009F4069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F4069" w:rsidRPr="00FC6C58" w:rsidRDefault="009F4069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F4069" w:rsidRPr="00FC6C58" w:rsidRDefault="009F4069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F4069" w:rsidRPr="00FC6C58" w:rsidRDefault="009F4069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F4069" w:rsidRPr="00FC6C58" w:rsidRDefault="009F4069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F4069" w:rsidRPr="00FC6C58" w:rsidRDefault="009F4069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F4069" w:rsidRPr="00FC6C58" w:rsidRDefault="009F4069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F4069" w:rsidRPr="00FC6C58" w:rsidRDefault="009F4069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F4069" w:rsidRPr="00FC6C58" w:rsidRDefault="00B952F1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Реферат</w:t>
      </w:r>
    </w:p>
    <w:p w:rsidR="00F547A0" w:rsidRPr="00FC6C58" w:rsidRDefault="00B952F1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Проблема</w:t>
      </w:r>
      <w:r w:rsidR="009F4069" w:rsidRPr="00FC6C5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осуществления</w:t>
      </w:r>
      <w:r w:rsidR="009F4069" w:rsidRPr="00FC6C5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контроля</w:t>
      </w:r>
      <w:r w:rsidR="009F4069" w:rsidRPr="00FC6C5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деятельности</w:t>
      </w:r>
      <w:r w:rsidR="009F4069" w:rsidRPr="00FC6C5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исламских</w:t>
      </w:r>
      <w:r w:rsidR="009F4069" w:rsidRPr="00FC6C5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банков</w:t>
      </w:r>
    </w:p>
    <w:p w:rsidR="009F4069" w:rsidRPr="00FC6C58" w:rsidRDefault="009F4069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F4069" w:rsidRPr="00FC6C58" w:rsidRDefault="009F4069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F4069" w:rsidRPr="00FC6C58" w:rsidRDefault="009F4069">
      <w:pP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сравнительно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небольшой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срок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периодической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печати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появилось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немало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публикаций,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посвященных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такому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новому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явлению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жизни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России,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банки.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хотя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благодаря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публикациям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отечественные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специалисты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банковского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дела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уже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успели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получить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общее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представление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явлении,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необходимо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отметить,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нашей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стране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пор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единственным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отличием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традиционных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(или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коммерческих)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считается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запрет,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следствие,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отказ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взимания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процентов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операций,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проводимых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банками.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Реальность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же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показывает,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такое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представление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очень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поверхностным,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следовательно,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требуется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можно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более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подробное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описание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различных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институтов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банковского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дела.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особенно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важно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связи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возможным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появлением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ближайшем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будущем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осуществляющих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свою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строгом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нормами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ислама,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рамках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банковской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системы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Российской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Федерации.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июле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1997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объявлено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создании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первого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России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участием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финансового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капитала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мусульманских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государств,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Бахрейн,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Египет,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Иордания,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Иран,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Пакистан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Саудовская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Аравия.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Однако,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резонно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отмечено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статье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Журавлева</w:t>
      </w:r>
      <w:r w:rsidRPr="00FC6C58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нашей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стране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финансовый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институт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столкнуться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различными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проблемами,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связанными,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числе,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деятельностью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стороны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России,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выполняющего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функции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регулирования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банковской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системой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Российской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Федерации.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Поэтому,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очевидно,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небезынтересно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узнать,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каким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образом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контролируется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родине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тем,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чтобы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понять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какие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могут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позаимствованы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применимы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России.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Функция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считается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одной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ведущих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среди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тех,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осуществляются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банками.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Следует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отметить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очевидный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религиозный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контекст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контроля,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поскольку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основой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считаются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нормы,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содержащиеся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Коране.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Виды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контроля,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могут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затрагивать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разные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стороны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многообразны.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Среди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принято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выделять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высший,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божественный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контроль;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контроль,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осуществляемый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человеком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контроль,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осуществляемый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обществом.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Высший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божественный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представляет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собой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догматике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надзирание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Аллаха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над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всем,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он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создал.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говорится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Коране,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"воистину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Аллах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надсмотрщик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над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вами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[людьми]"</w:t>
      </w:r>
      <w:r w:rsidRPr="00FC6C58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"Он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[Аллах]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вечным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надсмотрщиком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над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всеми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словами,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произносятся"</w:t>
      </w:r>
      <w:r w:rsidRPr="00FC6C58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3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контроль,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мнению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юристов–богословов,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самым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действенным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эффективным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видом,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этим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можно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согласиться,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если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принять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внимание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роль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религии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жизни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государств,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отношение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мусульман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кораническим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предписаниям.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сказал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пророк,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имея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ввиду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высший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божественный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требуя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подготовиться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нему: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"Благодеяние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поклоняешься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Аллаху,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будто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видишь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его,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если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видишь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его,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он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видит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тебя"</w:t>
      </w:r>
      <w:r w:rsidRPr="00FC6C58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4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Под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контролем,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осуществляемым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человеком,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понимается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контроль,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исходящий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человека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являющийся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результатом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совестливости.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контроль,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представлению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мусульманских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богословов,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осуществляется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через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мобилизацию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внутренних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сил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человека,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прибегая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внешнему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контролю.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Необходимо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отметить,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этому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придается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немаловажное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значение.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Наконец,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смысл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общественного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сводится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надзору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стороны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общества.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Основа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контроля,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считают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некоторые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ученые,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заключается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исламское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общество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источником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полномочий,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реализует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государство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институты.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Другие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полагают,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стороны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общества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делом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Аллаха,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говорится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Коране: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"Для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того,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чтобы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вас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получилось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общество,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должны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призывать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добру,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грешить,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покончить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постыдными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делами,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тогда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преуспеете"</w:t>
      </w:r>
      <w:r w:rsidRPr="00FC6C58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5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практике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выглядит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следующим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образом.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выполнения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какой–либо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банковской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операции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общественного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происходит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путем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получения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советов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(именно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советов)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стороны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регулирующих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органов,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после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проведения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исполнения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операции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путем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совершенствования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выполнения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исправления.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Существует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ряд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инструментов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деятельностью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Основными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наиболее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эффективными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считаются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шариатский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контроль,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стороны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центрального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стороны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вкладчиков.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Последний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инструмент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наиболее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интересным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полезным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российской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банковской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системы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свете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недавних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событий,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связанных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массовыми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разорениями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привело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огромнейшим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потерям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сбережений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частных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вкладчиков.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Органы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шариатского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осуществляют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законностью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правомерностью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операций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Они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создаются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каждом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качестве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основных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контролирующих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структур.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основном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функции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органов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заключаются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проверке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проводимых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операций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предписаниям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Корана,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размеров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обязательств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своей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этой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связи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органы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обладают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полномочиями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компетенцией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внешнего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ревизора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счетов.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Внешний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ревизор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счетов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имеет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право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проводить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периодические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ревизию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операциями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Он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вправе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выражать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свое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мнение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любым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банковским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операциям,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противоречат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целям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мусульманскому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праву.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Необходимо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отметить,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рамки,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пределах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осуществляться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вышеуказанные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функции,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просто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ограничиваются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фетвой</w:t>
      </w:r>
      <w:r w:rsidRPr="00FC6C58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6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позволяют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требовать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предоставления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объяснений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правления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выражать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замечания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поводу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любых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операций,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проводимых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банком.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Органы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шариатского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могут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осуществлять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свои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функции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путем: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принятия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муфтием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своего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решения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выражения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юристами–богословами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своих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мнений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вопросам,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представленным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правлением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каким–либо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подразделений;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выражения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своих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замечаний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требования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представления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объяснений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относительно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операций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после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осуществления.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Если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возникают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разногласия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правлением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внутренним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органом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шариатского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контроля,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вопрос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выносится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рассмотрение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Высшего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органа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фетве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шариатскому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контролю,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создан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ассоциации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МАИБ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имеет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полномочия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(в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пределах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своей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компетенции)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выражать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юридическое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мнение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банковским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финансовым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вопросам,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которыми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обращаются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финансовые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институты,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являющиеся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членами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этой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ассоциации.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образом,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выражая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свое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мнение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вопросу,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предметом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разногласий,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Высший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орган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фетве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шариатскому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выступает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роли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третейского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судьи.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Другой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канал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образуют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центральные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государств,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банковских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системах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присутствуют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финансовые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структуры.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хотя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степени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своей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значимости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воздействия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роль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инструмента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заметно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уступает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шариатскому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силу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большей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религиозности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последнего,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центральные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имеют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существенное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значение,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поскольку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они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призваны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регулировать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соответственно,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контролировать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операции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многих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странах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центральные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уполномочены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осуществлять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стороны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банковской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денежной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системами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наделены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функциями,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позволяющими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удерживать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рамках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правовых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норм,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оказывать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содействие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поддержку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банкам,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находящимся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сложном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финансовом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положении.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образом,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центральные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являются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единственными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выразителями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политики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всем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вопросам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Исключением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являются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только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спорные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вопросы,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выносятся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рассмотрение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Высшего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органа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фетве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шариатскому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МАИБ,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указано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выше.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Применительно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банкам,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прежде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всего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необходимо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отметить,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центральный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обладает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такими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же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полномочиями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отношении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какими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он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обладает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отношении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традиционных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части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над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инвестиционными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кредитными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операциями,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над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процессом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создания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осуществляется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путем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издания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центральным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директив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возможности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финансирования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тех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проектов,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максимального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предела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финансирования,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размера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страхования,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которое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должен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получить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отношении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некоторых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видов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кредитов,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пропорционального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распределения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рисков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различных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операций.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Последнее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делается,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числе,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того,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чтобы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установить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соотношение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рисков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размером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уставного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капитала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резервного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фонда.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Основные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вопросы,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находящиеся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центральных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относятся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созданием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деятельностью,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частности,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депонировании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вкладов.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применяются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же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процедуры,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обычным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получении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разрешения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создания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новых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открытия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филиалов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действующих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соблюдением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нижеследующего: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учредители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должны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состоятельными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людьми,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иметь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хорошую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репутацию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безупречную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биографию;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среди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учредителей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должны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лица,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знакомые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практикой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мусульманского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права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банковского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дела;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члены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правления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должны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обладать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достаточной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квалификацией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профессиональными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способностями,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необходимыми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управления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банковским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учреждением;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должна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существовать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общественная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экономическая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необходимость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создании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открытия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филиала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регионе,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равно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благоприятные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предпосылки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извлечения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такими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филиалом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прибыли;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обязательным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условием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должно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обслуживание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основных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интересов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общества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(например,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части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сбора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закята</w:t>
      </w:r>
      <w:r w:rsidRPr="00FC6C58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7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должна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развиваться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поэтапным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планом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развития,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предварительно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одобряется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центральным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банком.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Помимо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вышеуказанного,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необходимо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наличие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крупного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уставного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капитала,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размер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странах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различен.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многом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обусловлено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высокой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степенью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ответственности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перед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своими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вкладчиками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обществом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целом;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высоким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уровнем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конкуренции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традиционными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банками,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которым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приходится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сталкиваться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любому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исламскому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предоставлении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сходных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банковских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услуг;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большим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количеством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коммерческих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инвестиционных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банковских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операций,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частуо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приходится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осуществлять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одновременно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требуют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достаточного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денежного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обеспечения.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Большое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значение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уделяется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вопросу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создания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резервных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фондов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Считается,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определенный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процент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прибыли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распределения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среди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акционеров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должен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направляться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резервный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фонд.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Такое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распределение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прибыли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должно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происходить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ежегодно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тех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пор,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размеры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уставного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капитала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резервного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фонда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станут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равными,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затем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необходимо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только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поддерживать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такое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соотношение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пропорции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1:1.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некоторых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случаях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центральный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потребовать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создание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специального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фонда,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должна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переводиться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часть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активов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подвергающихся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рискам.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Размер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активов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определяет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центральный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Основными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видами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вкладов,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разрешено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принимать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банкам,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являются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востребования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называемые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инвестиционные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вклады.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Основным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отличием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востребования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инвестиционных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вопрос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участия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вкладчиков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прибылях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убытках,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получить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понести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результате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проведения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банковских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операций.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востребования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участвуют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прибылях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убытках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поэтому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должны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гарантированы.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Инвестиционные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же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участвуют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рискованных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банковских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операциях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соответственно,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прибылях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убытках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заключается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одно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основных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отличий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традиционными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банками.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необходимо,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чтобы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правила,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разрабатываемые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применяемые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каждым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определяющие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порядок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депонирования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денежных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средств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тот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иной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вид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вкладов,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соответствовали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целям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функциям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вкладов,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нормам,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установленным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центральным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банком.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Согласно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нормам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обязан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соблюдать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предельное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соотношение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размером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уставного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капитала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размером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вкладов.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означает,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увеличении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величины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обязан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увеличить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уставной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капитал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уровня,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соответствовал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предельному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соотношению,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указанному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предыдущем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предложении.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отмечено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выше,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возврат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востребования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должен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гарантирован,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поскольку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денежные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средства,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составляющие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вклады,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участвуют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рискованных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операциях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Чтобы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такую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гарантию,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обязан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поддерживать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определенное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соотношение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размером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востребования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размером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своего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уставного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капитала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соответствующего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вида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активов,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принадлежащих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ему,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либо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обоих.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случае,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если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размер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превысит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установленный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предел,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обязан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депонировать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часть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востребования,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превысивших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установленный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предел,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центральном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банке.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Центральный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свою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очередь,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выступает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гарантом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возврата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востребования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части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превышения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установленного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предельного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соотношения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размером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востребования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величиной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уставного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капитала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либо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активов.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Чтобы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реально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располагать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такими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гарантиями,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предписывается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хранить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резервы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своих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ликвидных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средств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форме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наличных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денежных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средств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либо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депонирования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средств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центральном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банке.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допускается,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одобрения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центрального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могут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применимы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другие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формы.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Необходимо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отметить,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центральному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принадлежит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право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требовать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предоставления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статистических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данных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своем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финансовом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положении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результатах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своей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публикации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центральных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средствах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массовой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информации,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если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центральный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считает,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обнародование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данных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позволит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вкладчикам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принять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решение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депонировании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своих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денежных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средств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вклады,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принимаемые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банками.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Центральный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имеет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право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любое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время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проводить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ревизию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проверку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учетных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журналов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счетов.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управляющий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служащие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обязаны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предоставлять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все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учетные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журналы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документы,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любые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объяснения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отношении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требованию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центрального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Если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центральный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обнаруживает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нарушение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действующих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норм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выявляет,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наносит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ущерб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вкладчикам,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устанавливает,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состояние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ликвидных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средств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неудовлетворительное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имеет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неблагоприятную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динамику,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он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имеет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право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предпринять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следующие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меры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(отдельно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совокупности):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потребовать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проведения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соответствующих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мер;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назначить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одного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нескольких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советников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вопросам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управления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банковскими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операциями;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временно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отстранить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должности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сместить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любого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управляющего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служащего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банка;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приостановить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операции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либо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аннулировать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лицензию.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обычных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вкладчики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выполняют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никакой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контрольной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функции.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отношения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представляют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отношения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должника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кредитора,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вкладчика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затрагивают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результаты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касается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вкладчики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(владельцы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инвестиционных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вкладов)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состоят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отношениях,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вкладчики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уполномочивают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осуществлять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инвестирование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денежных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средств.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Поэтому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вкладчики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“ощущают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себе”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результаты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части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прибыли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убытков.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Однако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выбор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правления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аудитора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счетов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осуществляется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общим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собранием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акционеров,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позволяет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вкладчикам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контролировать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образом,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все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вопросы,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связанные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результатами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независимо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того,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имеет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место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прибыль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убытки,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рассматриваются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общем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собрании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акционеров.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Вкладчики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же,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испытывающие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непосредственное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воздействие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решений,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имеют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права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голоса.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Если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принять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внимание,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объем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некоторых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превышает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размер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уставного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капитала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10–50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становится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очевидной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важность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контроля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банковскими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операциями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стороны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вкладчиков–владельцев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инвестиционных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счетов,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частности,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необходимость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наделения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вкладчиков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правом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голоса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некоторым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вопросам,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рассматриваемым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общих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собраниях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акционеров.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сегодняшний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день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единственным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практическим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шагом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направлении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можно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считать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Закон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Пакистана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26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июня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1980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г.,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разрешил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банкам</w:t>
      </w:r>
      <w:r w:rsidRPr="00FC6C58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8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выпускать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сертификаты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временного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участия,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являющиеся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своей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природе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банковскими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вкладами.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Согласно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этому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Закону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владельцы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сертификатов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вправе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назначать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доверительных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управляющих.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Задачей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последних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удостоверение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надлежащего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которую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инвестируются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денежные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средства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владельцев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сертификатов.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Поэтому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доверительному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управляющему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выполнении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своих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полномочий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принадлежит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право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проводить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проверку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учетных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журналов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требовать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предоставления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любых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информационных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данных,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посещать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офис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остальных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данный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вопрос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находится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стадии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теоретической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проработки.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сегодняшний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день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можно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обозначить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единство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взглядов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большинства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теоретиков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отношении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того,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решение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вопроса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участии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вкладчиков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включая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принятие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решения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депонировании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своих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денежных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средств,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состоит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двух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моментов.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Условно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можно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обозначить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информационный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связанный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полномочиями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вкладчиков.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Первый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двух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моментов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связан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информацией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всех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операциях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которая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необходима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вкладчику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принятия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решения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депонировании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своих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денежных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средств.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Делая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банке,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клиент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часто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представляет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себе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положение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результатах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он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будет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участвовать.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Все,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доступно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ознакомления,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баланс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предыдущий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год,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опубликование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задерживается,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правило,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несколько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месяцев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после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окончания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финансового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года.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Кроме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того,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вкладчик,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осуществляющий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депонирование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третьем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месяце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срок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более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одного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года,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знает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размера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прибыли,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причитающейся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ему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конце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срока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своего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первого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тех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пор,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он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примет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решения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продлении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срока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изъятии,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поскольку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информация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итогах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предыдущего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года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обнародуются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только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пятом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шестом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месяце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после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выполнения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всех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операций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проведения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общего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собрания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акционеров,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созыв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разрешается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законом,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правило,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конца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шестого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месяца.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Разъяснение,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которое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вкладчик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получает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после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опубликования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баланса,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ограничивается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лишь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указанием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причитающейся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ему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прибыли.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Поэтому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необходимо,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чтобы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указывал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финансовой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отчетности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все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проведенные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операции,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дополняя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данные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аналитическими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таблицами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размерах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вкладов,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могли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подразделяться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зависимости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сроков,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валюты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видов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(текущие,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сберегательные,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общие,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специальные,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инвестиционные,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востребования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др.),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размерах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инвестиций,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могли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подразделяться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зависимости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сроков,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валюты,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отраслей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экономики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стран.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Помимо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этого,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данные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могли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разъяснять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инвестиционную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политику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структуру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бухгалтерской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отчетности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проблемы,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которыми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сталкивается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план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разрешения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проблем.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Второй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момент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связан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полномочиями,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предусмотренными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уставными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документами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которыми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вкладчики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являются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акционерами.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силу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этого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они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рассматриваются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качестве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акционеров,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хотя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участвуют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своими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капиталами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кредитовании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Исходя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сказанного,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роли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некоторых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категорий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вкладчиков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инвестиционных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операций,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можно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предположить,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вкладчики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вполне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справедливо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могут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иметь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право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принимать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участие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наряду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акционерами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обсуждении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баланса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счетов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прибыли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убытков,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выборе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аудитора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счетов,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исключением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вопроса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составе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правления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которое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выбирается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исключительно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акционерами.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этой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связи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получила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развитие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мысль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вкладчик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получить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право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голоса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общем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собрании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акционеров.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Однако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необходимо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исходить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следующего: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право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распространяться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только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тех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вкладчиков,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чьи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превышают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установленный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размер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(1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тыс.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дол.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США,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например),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срок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превышает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установленный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срок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(один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год,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например);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количество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голосов,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получаемых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вкладчиком,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рассчитываться,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исходя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установленного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кратного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соотношения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величины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номинальной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стоимости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одной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акции,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предоставляющей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один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голос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общем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собрании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акционеров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(например,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случае,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если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номинальная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стоимость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одной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акции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составляет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100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вышеуказанное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кратное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соотношение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равно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3,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размере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1,2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тыс.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предоставит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своему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владельцу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голоса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общем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собрании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акционеров).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мнению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многих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теоретиков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практиков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финансового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дела,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образом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достигнут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компромисс,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акционеры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сохраняют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приемлемое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представительство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общих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собраниях,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вкладчики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лишаются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права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участие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выражении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своего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мнения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вопросам,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связанным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своими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интересами,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хотя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происходит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полного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уравнения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прав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полномочий,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предоставляемых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акционерам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вкладчикам.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Подводя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итог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сказанному,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хотелось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отметить,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несмотря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то,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многие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вопросы,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связанные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деятельностью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пока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остаются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без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ответов,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можно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ожидать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уже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ближайшее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время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разрешения.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многом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диктуется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скоростью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динамичностью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развития,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которую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демонстрируют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последнее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время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банки,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стремительным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вхождением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мировую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банковскую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систему.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этой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системе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придется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выдержать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жесткую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конкуренцию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стороны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обычных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сегодня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обладают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преимуществом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касается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работы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понимания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природы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сути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стороны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клиентов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партнеров.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если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принять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внимание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количество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мусульман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всем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мире,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потенциально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могут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клиентами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банков,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появившихся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пределами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государств,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уровень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финансового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капитала,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аккумулированного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настоящее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время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банках,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можно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считать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реальным,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обладают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огромным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уникальным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своем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роде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потенциалом,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который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позволить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временем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успешно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конкурировать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традиционными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банками.</w:t>
      </w:r>
    </w:p>
    <w:p w:rsidR="009F4069" w:rsidRPr="00FC6C58" w:rsidRDefault="009F4069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50007" w:rsidRPr="00FC6C58" w:rsidRDefault="00750007" w:rsidP="00750007">
      <w:pPr>
        <w:jc w:val="both"/>
        <w:rPr>
          <w:rFonts w:ascii="Times New Roman" w:hAnsi="Times New Roman"/>
          <w:b/>
          <w:color w:val="FFFFFF"/>
          <w:sz w:val="28"/>
          <w:szCs w:val="28"/>
        </w:rPr>
      </w:pPr>
      <w:r w:rsidRPr="00FC6C58">
        <w:rPr>
          <w:rFonts w:ascii="Times New Roman" w:hAnsi="Times New Roman"/>
          <w:b/>
          <w:color w:val="FFFFFF"/>
          <w:sz w:val="28"/>
          <w:szCs w:val="28"/>
        </w:rPr>
        <w:t>исламский банк мусульманский контроль</w:t>
      </w:r>
    </w:p>
    <w:p w:rsidR="00B952F1" w:rsidRPr="00FC6C58" w:rsidRDefault="00B952F1" w:rsidP="009F406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:rsidR="00F547A0" w:rsidRPr="00FC6C58" w:rsidRDefault="00B952F1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B952F1" w:rsidRPr="00FC6C58" w:rsidRDefault="00B952F1" w:rsidP="009F406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Журавлева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"Исламский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России?",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"Деловой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мир"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21.08.97.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Коран,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сура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"Женщина",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1–й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аят,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перевод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Крачковского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И.Ю.,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изд–во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восточной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литературы,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Москва,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1963г.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Коран,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сура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"Каф",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18–й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аят,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перевод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Крачковского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И.Ю.,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изд–во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восточной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литературы,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Москва,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1963г.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Мухаммад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Суилим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"Методы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управления,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применяемые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традиционных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исламских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банках",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Каир,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1987г.,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стр.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459.</w:t>
      </w:r>
    </w:p>
    <w:p w:rsidR="00F547A0" w:rsidRPr="00FC6C58" w:rsidRDefault="00F547A0" w:rsidP="009F406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Коран,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сура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"Семейство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Имрана",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104–й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аят,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перевод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Крачковского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И.Ю.,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изд–во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восточной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литературы,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Москва,</w:t>
      </w:r>
      <w:r w:rsidR="009F4069" w:rsidRPr="00FC6C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6C58">
        <w:rPr>
          <w:rFonts w:ascii="Times New Roman" w:hAnsi="Times New Roman"/>
          <w:color w:val="000000"/>
          <w:sz w:val="28"/>
          <w:szCs w:val="28"/>
          <w:lang w:eastAsia="ru-RU"/>
        </w:rPr>
        <w:t>1963г.</w:t>
      </w:r>
    </w:p>
    <w:p w:rsidR="00E371A7" w:rsidRPr="00E371A7" w:rsidRDefault="00E371A7" w:rsidP="00E371A7">
      <w:pPr>
        <w:spacing w:line="360" w:lineRule="auto"/>
        <w:jc w:val="center"/>
        <w:rPr>
          <w:rFonts w:ascii="Times New Roman" w:hAnsi="Times New Roman"/>
          <w:color w:val="FFFFFF"/>
          <w:sz w:val="28"/>
          <w:szCs w:val="28"/>
          <w:lang w:val="en-US"/>
        </w:rPr>
      </w:pPr>
    </w:p>
    <w:p w:rsidR="00DE487B" w:rsidRPr="00FC6C58" w:rsidRDefault="00DE487B" w:rsidP="009F406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sectPr w:rsidR="00DE487B" w:rsidRPr="00FC6C58" w:rsidSect="009F4069">
      <w:head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C05" w:rsidRDefault="00935C05" w:rsidP="00B952F1">
      <w:pPr>
        <w:spacing w:after="0" w:line="240" w:lineRule="auto"/>
      </w:pPr>
      <w:r>
        <w:separator/>
      </w:r>
    </w:p>
  </w:endnote>
  <w:endnote w:type="continuationSeparator" w:id="0">
    <w:p w:rsidR="00935C05" w:rsidRDefault="00935C05" w:rsidP="00B9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C05" w:rsidRDefault="00935C05" w:rsidP="00B952F1">
      <w:pPr>
        <w:spacing w:after="0" w:line="240" w:lineRule="auto"/>
      </w:pPr>
      <w:r>
        <w:separator/>
      </w:r>
    </w:p>
  </w:footnote>
  <w:footnote w:type="continuationSeparator" w:id="0">
    <w:p w:rsidR="00935C05" w:rsidRDefault="00935C05" w:rsidP="00B95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1A7" w:rsidRPr="00E371A7" w:rsidRDefault="00E371A7" w:rsidP="00E371A7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407C"/>
    <w:rsid w:val="00026636"/>
    <w:rsid w:val="004E67D5"/>
    <w:rsid w:val="00750007"/>
    <w:rsid w:val="0082407C"/>
    <w:rsid w:val="008F0DE6"/>
    <w:rsid w:val="00935C05"/>
    <w:rsid w:val="009F4069"/>
    <w:rsid w:val="00A57C11"/>
    <w:rsid w:val="00B952F1"/>
    <w:rsid w:val="00D47EDE"/>
    <w:rsid w:val="00D9474F"/>
    <w:rsid w:val="00DE487B"/>
    <w:rsid w:val="00E371A7"/>
    <w:rsid w:val="00F547A0"/>
    <w:rsid w:val="00FC6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E8348FD-E6FF-4C74-A234-170E4D2A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EDE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B952F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95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B952F1"/>
    <w:rPr>
      <w:rFonts w:cs="Times New Roman"/>
    </w:rPr>
  </w:style>
  <w:style w:type="character" w:styleId="a7">
    <w:name w:val="Hyperlink"/>
    <w:uiPriority w:val="99"/>
    <w:rsid w:val="00E371A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3383</Words>
  <Characters>19289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</dc:creator>
  <cp:keywords/>
  <dc:description/>
  <cp:lastModifiedBy>admin</cp:lastModifiedBy>
  <cp:revision>2</cp:revision>
  <dcterms:created xsi:type="dcterms:W3CDTF">2014-03-25T10:02:00Z</dcterms:created>
  <dcterms:modified xsi:type="dcterms:W3CDTF">2014-03-25T10:02:00Z</dcterms:modified>
</cp:coreProperties>
</file>