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4B4" w:rsidRDefault="007177A9">
      <w:pPr>
        <w:pStyle w:val="ab"/>
      </w:pPr>
      <w:r>
        <w:t>Московская Государственная Юридическая Академия</w:t>
      </w:r>
    </w:p>
    <w:p w:rsidR="00A034B4" w:rsidRDefault="00A034B4">
      <w:pPr>
        <w:spacing w:line="360" w:lineRule="auto"/>
        <w:rPr>
          <w:b/>
          <w:bCs/>
          <w:lang w:val="ru-RU"/>
        </w:rPr>
      </w:pPr>
    </w:p>
    <w:p w:rsidR="00A034B4" w:rsidRDefault="00A034B4">
      <w:pPr>
        <w:spacing w:line="360" w:lineRule="auto"/>
        <w:rPr>
          <w:b/>
          <w:bCs/>
          <w:lang w:val="ru-RU"/>
        </w:rPr>
      </w:pPr>
    </w:p>
    <w:p w:rsidR="00A034B4" w:rsidRDefault="00A034B4">
      <w:pPr>
        <w:spacing w:line="360" w:lineRule="auto"/>
        <w:rPr>
          <w:b/>
          <w:bCs/>
          <w:lang w:val="ru-RU"/>
        </w:rPr>
      </w:pPr>
    </w:p>
    <w:p w:rsidR="00A034B4" w:rsidRDefault="00A034B4">
      <w:pPr>
        <w:spacing w:line="360" w:lineRule="auto"/>
        <w:rPr>
          <w:b/>
          <w:bCs/>
          <w:lang w:val="ru-RU"/>
        </w:rPr>
      </w:pPr>
    </w:p>
    <w:p w:rsidR="00A034B4" w:rsidRDefault="007177A9">
      <w:pPr>
        <w:spacing w:line="360" w:lineRule="auto"/>
        <w:jc w:val="center"/>
        <w:rPr>
          <w:b/>
          <w:bCs/>
          <w:sz w:val="28"/>
          <w:lang w:val="ru-RU"/>
        </w:rPr>
      </w:pPr>
      <w:r>
        <w:rPr>
          <w:b/>
          <w:bCs/>
          <w:sz w:val="28"/>
          <w:lang w:val="ru-RU"/>
        </w:rPr>
        <w:t>Московский заочный факультет</w:t>
      </w:r>
    </w:p>
    <w:p w:rsidR="00A034B4" w:rsidRDefault="007177A9">
      <w:pPr>
        <w:spacing w:line="360" w:lineRule="auto"/>
        <w:jc w:val="center"/>
        <w:rPr>
          <w:b/>
          <w:bCs/>
          <w:sz w:val="28"/>
          <w:lang w:val="ru-RU"/>
        </w:rPr>
      </w:pPr>
      <w:r>
        <w:rPr>
          <w:b/>
          <w:bCs/>
          <w:sz w:val="28"/>
          <w:lang w:val="ru-RU"/>
        </w:rPr>
        <w:t>Отделение "Целевая подготовка"</w:t>
      </w:r>
    </w:p>
    <w:p w:rsidR="00A034B4" w:rsidRDefault="00A034B4">
      <w:pPr>
        <w:spacing w:line="360" w:lineRule="auto"/>
        <w:jc w:val="center"/>
        <w:rPr>
          <w:b/>
          <w:bCs/>
          <w:sz w:val="28"/>
          <w:lang w:val="ru-RU"/>
        </w:rPr>
      </w:pPr>
    </w:p>
    <w:p w:rsidR="00A034B4" w:rsidRDefault="00A034B4">
      <w:pPr>
        <w:spacing w:line="360" w:lineRule="auto"/>
        <w:jc w:val="center"/>
        <w:rPr>
          <w:b/>
          <w:bCs/>
          <w:sz w:val="28"/>
          <w:lang w:val="ru-RU"/>
        </w:rPr>
      </w:pPr>
    </w:p>
    <w:p w:rsidR="00A034B4" w:rsidRDefault="00A034B4">
      <w:pPr>
        <w:spacing w:line="360" w:lineRule="auto"/>
        <w:jc w:val="center"/>
        <w:rPr>
          <w:b/>
          <w:bCs/>
          <w:sz w:val="28"/>
          <w:lang w:val="ru-RU"/>
        </w:rPr>
      </w:pPr>
    </w:p>
    <w:p w:rsidR="00A034B4" w:rsidRDefault="00A034B4">
      <w:pPr>
        <w:spacing w:line="360" w:lineRule="auto"/>
        <w:jc w:val="center"/>
        <w:rPr>
          <w:b/>
          <w:bCs/>
          <w:sz w:val="28"/>
          <w:lang w:val="ru-RU"/>
        </w:rPr>
      </w:pPr>
    </w:p>
    <w:p w:rsidR="00A034B4" w:rsidRDefault="007177A9">
      <w:pPr>
        <w:spacing w:line="360" w:lineRule="auto"/>
        <w:jc w:val="center"/>
        <w:rPr>
          <w:b/>
          <w:bCs/>
          <w:sz w:val="28"/>
          <w:lang w:val="ru-RU"/>
        </w:rPr>
      </w:pPr>
      <w:r>
        <w:rPr>
          <w:b/>
          <w:bCs/>
          <w:sz w:val="28"/>
          <w:lang w:val="ru-RU"/>
        </w:rPr>
        <w:t>Кафедра международного права</w:t>
      </w:r>
    </w:p>
    <w:p w:rsidR="00A034B4" w:rsidRDefault="007177A9">
      <w:pPr>
        <w:spacing w:line="360" w:lineRule="auto"/>
        <w:jc w:val="center"/>
        <w:rPr>
          <w:b/>
          <w:bCs/>
          <w:sz w:val="28"/>
          <w:lang w:val="ru-RU"/>
        </w:rPr>
      </w:pPr>
      <w:r>
        <w:rPr>
          <w:b/>
          <w:bCs/>
          <w:sz w:val="28"/>
          <w:lang w:val="ru-RU"/>
        </w:rPr>
        <w:t xml:space="preserve">Контрольная работа </w:t>
      </w:r>
    </w:p>
    <w:p w:rsidR="00A034B4" w:rsidRDefault="007177A9">
      <w:pPr>
        <w:spacing w:line="360" w:lineRule="auto"/>
        <w:jc w:val="center"/>
        <w:rPr>
          <w:b/>
          <w:bCs/>
          <w:sz w:val="28"/>
          <w:lang w:val="ru-RU"/>
        </w:rPr>
      </w:pPr>
      <w:r>
        <w:rPr>
          <w:b/>
          <w:bCs/>
          <w:sz w:val="28"/>
          <w:lang w:val="ru-RU"/>
        </w:rPr>
        <w:t>Вариант № 3</w:t>
      </w:r>
    </w:p>
    <w:p w:rsidR="00A034B4" w:rsidRDefault="00A034B4">
      <w:pPr>
        <w:spacing w:line="360" w:lineRule="auto"/>
        <w:rPr>
          <w:b/>
          <w:bCs/>
          <w:lang w:val="ru-RU"/>
        </w:rPr>
      </w:pPr>
    </w:p>
    <w:p w:rsidR="00A034B4" w:rsidRDefault="00A034B4">
      <w:pPr>
        <w:spacing w:line="360" w:lineRule="auto"/>
        <w:rPr>
          <w:b/>
          <w:bCs/>
          <w:lang w:val="ru-RU"/>
        </w:rPr>
      </w:pPr>
    </w:p>
    <w:p w:rsidR="00A034B4" w:rsidRDefault="00A034B4">
      <w:pPr>
        <w:spacing w:line="360" w:lineRule="auto"/>
        <w:rPr>
          <w:b/>
          <w:bCs/>
          <w:lang w:val="ru-RU"/>
        </w:rPr>
      </w:pPr>
    </w:p>
    <w:p w:rsidR="00A034B4" w:rsidRDefault="00A034B4">
      <w:pPr>
        <w:spacing w:line="360" w:lineRule="auto"/>
        <w:rPr>
          <w:b/>
          <w:bCs/>
          <w:lang w:val="ru-RU"/>
        </w:rPr>
      </w:pPr>
    </w:p>
    <w:p w:rsidR="00A034B4" w:rsidRDefault="00A034B4">
      <w:pPr>
        <w:spacing w:line="360" w:lineRule="auto"/>
        <w:rPr>
          <w:b/>
          <w:bCs/>
          <w:lang w:val="ru-RU"/>
        </w:rPr>
      </w:pPr>
    </w:p>
    <w:p w:rsidR="00A034B4" w:rsidRDefault="00A034B4">
      <w:pPr>
        <w:spacing w:line="360" w:lineRule="auto"/>
        <w:rPr>
          <w:b/>
          <w:bCs/>
          <w:lang w:val="ru-RU"/>
        </w:rPr>
      </w:pPr>
    </w:p>
    <w:p w:rsidR="00A034B4" w:rsidRDefault="00A034B4">
      <w:pPr>
        <w:spacing w:line="360" w:lineRule="auto"/>
        <w:rPr>
          <w:b/>
          <w:bCs/>
          <w:lang w:val="ru-RU"/>
        </w:rPr>
      </w:pPr>
    </w:p>
    <w:p w:rsidR="00A034B4" w:rsidRDefault="00A034B4">
      <w:pPr>
        <w:spacing w:line="360" w:lineRule="auto"/>
        <w:rPr>
          <w:b/>
          <w:bCs/>
          <w:lang w:val="ru-RU"/>
        </w:rPr>
      </w:pPr>
    </w:p>
    <w:p w:rsidR="00A034B4" w:rsidRDefault="00A034B4">
      <w:pPr>
        <w:spacing w:line="360" w:lineRule="auto"/>
        <w:rPr>
          <w:b/>
          <w:bCs/>
          <w:lang w:val="ru-RU"/>
        </w:rPr>
      </w:pPr>
    </w:p>
    <w:p w:rsidR="00A034B4" w:rsidRDefault="00A034B4">
      <w:pPr>
        <w:spacing w:line="360" w:lineRule="auto"/>
        <w:rPr>
          <w:b/>
          <w:bCs/>
          <w:lang w:val="ru-RU"/>
        </w:rPr>
      </w:pPr>
    </w:p>
    <w:p w:rsidR="00A034B4" w:rsidRDefault="00A034B4">
      <w:pPr>
        <w:spacing w:line="360" w:lineRule="auto"/>
        <w:rPr>
          <w:b/>
          <w:bCs/>
          <w:lang w:val="ru-RU"/>
        </w:rPr>
      </w:pPr>
    </w:p>
    <w:p w:rsidR="00A034B4" w:rsidRDefault="00A034B4">
      <w:pPr>
        <w:spacing w:line="360" w:lineRule="auto"/>
        <w:rPr>
          <w:b/>
          <w:bCs/>
          <w:lang w:val="ru-RU"/>
        </w:rPr>
      </w:pPr>
    </w:p>
    <w:p w:rsidR="00A034B4" w:rsidRDefault="007177A9">
      <w:pPr>
        <w:spacing w:line="360" w:lineRule="auto"/>
        <w:ind w:firstLine="576"/>
        <w:jc w:val="center"/>
        <w:rPr>
          <w:b/>
          <w:bCs/>
          <w:sz w:val="28"/>
          <w:lang w:val="ru-RU"/>
        </w:rPr>
      </w:pPr>
      <w:r>
        <w:rPr>
          <w:b/>
          <w:bCs/>
          <w:sz w:val="28"/>
          <w:lang w:val="ru-RU"/>
        </w:rPr>
        <w:t>Москва 2004 г.</w:t>
      </w:r>
    </w:p>
    <w:p w:rsidR="00A034B4" w:rsidRDefault="007177A9">
      <w:pPr>
        <w:spacing w:line="360" w:lineRule="auto"/>
        <w:ind w:firstLine="576"/>
        <w:jc w:val="both"/>
        <w:rPr>
          <w:b/>
          <w:bCs/>
          <w:lang w:val="ru-RU"/>
        </w:rPr>
      </w:pPr>
      <w:r>
        <w:rPr>
          <w:b/>
          <w:bCs/>
          <w:lang w:val="ru-RU"/>
        </w:rPr>
        <w:br w:type="page"/>
        <w:t>Тема 3. История международного права и его науки классического периода.</w:t>
      </w:r>
    </w:p>
    <w:p w:rsidR="00A034B4" w:rsidRDefault="007177A9">
      <w:pPr>
        <w:spacing w:line="360" w:lineRule="auto"/>
        <w:ind w:firstLine="576"/>
        <w:jc w:val="both"/>
        <w:rPr>
          <w:b/>
          <w:bCs/>
          <w:sz w:val="28"/>
          <w:lang w:val="ru-RU"/>
        </w:rPr>
      </w:pPr>
      <w:r>
        <w:rPr>
          <w:b/>
          <w:bCs/>
          <w:sz w:val="28"/>
          <w:lang w:val="ru-RU"/>
        </w:rPr>
        <w:t>Задание 1.</w:t>
      </w:r>
    </w:p>
    <w:p w:rsidR="00A034B4" w:rsidRDefault="007177A9">
      <w:pPr>
        <w:spacing w:line="360" w:lineRule="auto"/>
        <w:ind w:firstLine="576"/>
        <w:jc w:val="both"/>
        <w:rPr>
          <w:b/>
          <w:bCs/>
          <w:i/>
          <w:iCs/>
          <w:lang w:val="ru-RU"/>
        </w:rPr>
      </w:pPr>
      <w:r>
        <w:rPr>
          <w:i/>
          <w:iCs/>
          <w:sz w:val="22"/>
          <w:lang w:val="ru-RU"/>
        </w:rPr>
        <w:t xml:space="preserve">Вклад Венского (1814-1815 гг.) мирного конгресса в становление института межгосударственных организаций, запрещение работорговли, подразделение на классы дипломатических представителей и утверждение правила альтерната. </w:t>
      </w:r>
    </w:p>
    <w:p w:rsidR="00A034B4" w:rsidRDefault="00A034B4">
      <w:pPr>
        <w:spacing w:line="360" w:lineRule="auto"/>
        <w:ind w:firstLine="576"/>
        <w:jc w:val="both"/>
        <w:rPr>
          <w:b/>
          <w:bCs/>
          <w:lang w:val="ru-RU"/>
        </w:rPr>
      </w:pPr>
    </w:p>
    <w:p w:rsidR="00A034B4" w:rsidRDefault="007177A9">
      <w:pPr>
        <w:pStyle w:val="ac"/>
      </w:pPr>
      <w:r>
        <w:t xml:space="preserve">Существенное влияние на международное право классического периода оказал Венский конгресс 1814-1815 гг. Одним из итогов конгресса явилось утверждение Декларации держав о прекращении торговли неграми 8 февраля 1815 г. как «противной законам и человеколюбия, и общей нравственности», и как ответ на «общее мнение всех образованных народов». В ней отмечалось, что представители государств, собравшиеся на конгресс, выражают «усердное желание, чтобы был положен конец источнику бедствий, столь долго опустошавших Африку, обычно постыдному для Европы и оскорбительному для человечества». Однако в ней не было точно указано время, которая каждая держава «почтит приличнейшим для окончательного торга неграми, и, следовательно, определение срока, к коему сия ненавистная торговля должна быть прекращена повсюду, остается предметом переговоров между дворами». Дальнейшее закрепление признания рабства как международного преступления относится уже ко второй половине 19 в. (Генеральный акт о Конго, Берлинская конференция в 1885 г., Генеральный акт, подписанный на Брюссельской конференции в 1890 г.), а первые универсальные международные соглашения об искоренении рабства появились только в 20 в. Среди них Конвенция о рабстве 1926 г. и принятая ООН в 1948 г. Всеобщая декларация прав человека, ст. 4 которой гласит, что «никто не должен содержаться в рабстве или в подневольном состоянии; рабство и работорговля запрещаются во всех их видах». Кроме того, в 1956 г. Женевская конференция представителей 43 государств одобрила Дополнительную конвенцию об упразднении рабства. </w:t>
      </w:r>
    </w:p>
    <w:p w:rsidR="00A034B4" w:rsidRDefault="007177A9">
      <w:pPr>
        <w:pStyle w:val="ac"/>
      </w:pPr>
      <w:r>
        <w:t xml:space="preserve"> Первый международный договор права внешних сношений был принят на Венском конгрессе. В приложении к Заключительному акту Венского конгресса, с целью «предупредить затруднения и неприятности, кои часто встречались и могли бы впредь возникнуть от требований разных Дипломатических Агентов на председание», Венском протоколе от 7 марта 1815 г. (ст. 1) было введено единое деление дипломатических агентов на три класса: «1-ый - Послов и Папских Легатов или Нунциев; 2-й - Посланников, Министров и иных Уполномоченных при Государях; 3-й - Поверенных в делах, кои уполномочены при Министрах, управляющих делами иностранными». Ст. 2 протокола гласит, что «одни Послы и папские Легаты или Нунции почитаются представителями своих Государей». Дополнения к протоколу были внесены Аахенским протоколом 21 ноября 1818 г. Дальнейшая частичная кодификация посольского права впервые была предпринята в региональном масштабе только в 1928 г. в Латинской Америке. 20 февраля 1928 г. 20 латиноамериканских стран и США подписали Гаванскую конвенцию о дипломатических чиновниках, которая действует в отношении этих стран до сих пор. Кроме того, в настоящее время действуют: Венская конвенция о дипломатических сношениях 1961 г. (устанавливает, в том числе, классы глав представительств, их старшинство), Конвенция о специальных миссиях 1969 г., Венская конвенция о представительстве государств в их отношениях с международными организациями универсального характера 1975 г., Венская конвенция о консульских сношениях 1963 г. (регулирует, в том числе, классы глав консульских учреждений), Конвенция о привилегиях и иммунитетах ООН 1946 г. и Конвенция о привилегиях и иммунитетах специализированных учреждений ООН 1947 г.</w:t>
      </w:r>
    </w:p>
    <w:p w:rsidR="00A034B4" w:rsidRDefault="007177A9">
      <w:pPr>
        <w:pStyle w:val="ac"/>
      </w:pPr>
      <w:r>
        <w:t xml:space="preserve">Начинает развиваться альтернат, как правило оформления текстов международных договоров. </w:t>
      </w:r>
    </w:p>
    <w:p w:rsidR="00A034B4" w:rsidRDefault="007177A9">
      <w:pPr>
        <w:pStyle w:val="ac"/>
      </w:pPr>
      <w:r>
        <w:t xml:space="preserve">Кроме того, подтверждая постановления 24 марта 1815 г. о свободной навигации по международным рекам, Венский заключительный акт предоставил окончательную выработку соответствующих правил международным речным комиссиям. (Можно отметить, что специалисты в области права международных организаций считают, что первой межправительственной организацией в ее классическом понимании была Центральная комиссия по судоходству на Рейне, созданная в 1831 г.). </w:t>
      </w:r>
    </w:p>
    <w:p w:rsidR="00A034B4" w:rsidRDefault="007177A9">
      <w:pPr>
        <w:pStyle w:val="ac"/>
      </w:pPr>
      <w:r>
        <w:t xml:space="preserve">Венский конгресс также способствовал возникновению статуса постоянного нейтралитета Швейцарии. Постоянный нейтралитет этой страны был провозглашен посредством принятой Венским конгрессом 20 марта 1815 г. Декларации о делах Гельветического Союза. В ноябре 1815 г. представители Австрии, Великобритании, Франции, России, Пруссии и Португалии подписали соглашение о постоянном нейтралитете Швейцарии. Великие державы признавали, что Швейцария не должна участвовать в войнах на все будущие времена и дали гарантию поддержки данного статуса. Одновременно гарантировалась неприкосновенность швейцарской территории. Венский конгресс положил, таким образом, начало постоянному нейтралитету как международно-правовому институту. </w:t>
      </w:r>
    </w:p>
    <w:p w:rsidR="00A034B4" w:rsidRDefault="007177A9">
      <w:pPr>
        <w:pStyle w:val="ac"/>
      </w:pPr>
      <w:r>
        <w:t>Одним из итогов конгресса стал договор между Россией, Австрией и Пруссией о создании Священного союза (Акт Священного Союза, заключенный в Париже 26 сентября 1815 г.). Вскоре к этому договору присоединились многие государства. Посредством создания Союза, господствовавший с середины 17 в. принцип политического равновесия был дополнен принципом легитимизма, который был призван признать легитимной интервенцию и поддерживать в неприкосновенности ту перестройку европейских границ, которая в 1815 г. была произведена на Венском конгрессе. Таким образом, Венский конгресс затронул многие вопросы образования новых государств – было провозглашено Нидерландское королевство, германские государства и часть австрийских владение вошли в Германский союз. Раскол между странами-членами Союза привел к его краху с началом Крымской войны. Завершивший эту войну Парижский конгресс на смену системе Священного Союза выдвинул систему «европейского концерта», т.е. систему согласованного решения международных вопросов кругом европейских великих держав.</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ab/>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b/>
          <w:bCs/>
          <w:sz w:val="28"/>
          <w:szCs w:val="20"/>
          <w:lang w:val="ru-RU"/>
        </w:rPr>
      </w:pPr>
      <w:r>
        <w:rPr>
          <w:rFonts w:ascii="Times New Roman" w:eastAsia="Times New Roman" w:hAnsi="Times New Roman" w:cs="Times New Roman"/>
          <w:b/>
          <w:bCs/>
          <w:sz w:val="28"/>
          <w:szCs w:val="20"/>
          <w:lang w:val="ru-RU"/>
        </w:rPr>
        <w:t>Задание 2.</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i/>
          <w:iCs/>
          <w:sz w:val="22"/>
          <w:szCs w:val="20"/>
          <w:lang w:val="ru-RU"/>
        </w:rPr>
      </w:pPr>
      <w:r>
        <w:rPr>
          <w:rFonts w:ascii="Times New Roman" w:eastAsia="Times New Roman" w:hAnsi="Times New Roman" w:cs="Times New Roman"/>
          <w:i/>
          <w:iCs/>
          <w:sz w:val="22"/>
          <w:szCs w:val="20"/>
          <w:lang w:val="ru-RU"/>
        </w:rPr>
        <w:t xml:space="preserve">Решения Парижского мирного конгресса и становление институтов нейтрализации и демилитаризации, гуманизации правил ведения морской войны и принципа свободы торгового судоходства по международных рекам и в Черноморских проливах. </w:t>
      </w:r>
    </w:p>
    <w:p w:rsidR="00A034B4" w:rsidRDefault="00A034B4">
      <w:pPr>
        <w:pStyle w:val="noindent"/>
        <w:spacing w:before="0" w:beforeAutospacing="0" w:after="0" w:afterAutospacing="0" w:line="360" w:lineRule="auto"/>
        <w:ind w:firstLine="576"/>
        <w:rPr>
          <w:rFonts w:ascii="Times New Roman" w:eastAsia="Times New Roman" w:hAnsi="Times New Roman" w:cs="Times New Roman"/>
          <w:szCs w:val="20"/>
          <w:lang w:val="ru-RU"/>
        </w:rPr>
      </w:pP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Немаловажную роль в развитии ряда институтов международного права сыграл Парижский конгресс 1856 г. Он открылся в Париже 25 февраля 1856 г. и состоял первоначально из представителей Франции, Австрии, Англии, России, Сардинии и Турции.</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На Парижском конгрессе 1856 г. были введены основные начала морского международного права. Основные положения Парижской декларации о морской войне от 16 апреля 1856 г. заключались в следующем: официально отменено каперство (это международный деликт, выражающийся в умышленных действиях по захвату, разграблению и уничтожению судами, принадлежащим частным лицам, с разрешения правительства, коммерческих неприятельских судов или судов нейтральных стран, осуществляющих морские перевозки грузов и (или) пассажиров в пользу какой-либо воюющей стороны); нейтральный флаг покрывает неприятельский груз, за исключением военной контрабанды; нейтральный груз, за исключением военной контрабанды, не подлежит захвату под неприятельским флагом; блокада, чтобы быть обязательной, должна быть действительной, т.е. поддержанной достаточной силой для действительного воспрепятствования доступу к неприятельскому берегу. С установлением запрета на каперство связаны положения 7 Гаагской конвенции 1907 г. об обращении торговых судов в суда военные, а также не вступившей в силу Декларации о морской войне 1909 г.</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 xml:space="preserve">Парижский конгресс также определил, что к Дунаю и его устью будут применяться правила, установленные Венским конгрессом 1814-1815 гг. для судоходства по международным рекам, без уплаты за осуществление плавания и без пошлины с перевозимых судами товаров: «не будет взымаемо никакой платы собственно за само судоходство по реке и никакой пошлины с товаров, составляющих груз судов» (ст. 15). В упомянутых правилах шла речь о судоходстве по рекам, которые протекают по территории разных государств или служат им границей – «Судоходство по всему течению таких рек, начиная с тех пунктов, где они становятся судоходными, до самых устий, будет совершенно свободно для торговли и не может быть никому воспрещено. Но всякий, однако же, обязан соображаться с правилами, кои будут установлены для порядка в сем судоходстве, оные будут повсюду единообразны и, сколь возможно, благоприятны для торговли всех наций». При этом подчеркивалось, что «собирание пошлин будет повсюду единообразно». Важно отметить, что судоходство по Дунаю контролировалось преимущественно неприбрежными государствами. Современный режим этой реки определяется Конвенцией о режиме судоходства на Дунае от 18 августа 1948 г. Согласно ст. 1 указанной Конвенции «Навигация на Дунае должна быть свободной и открытой для граждан, торговых судов и товаров всех государств на основе равенства в отношении портовых и навигационных сборов и условий торгового судоходства..». Прибрежные государства вправе ограничить или запретить проход военных судов неприбрежных государств. </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 xml:space="preserve">Парижский конгресс объявил нейтрализованным Черное море (ст. 10-14 Мирного трактата от 30 марта 1856 г.). Нейтрализация – это особый, договорно установленный правовой режим определенных территорий, пространственных сфер и космических тел, в соответствии с которым там запрещаются ведение военных действий и использование их в качестве базы для ведения войны. Специальный раздел трактата говорил о режиме Черноморских проливов и предусматривал возобновление Лондонской конвенции от 13 июля 1841 г., установившей международную регламентацию проливов и подтвердившей «древнее правило» Оттоманской империи, согласно которому проливы объявлялись в мирное время закрытыми для прохода военных кораблей всех держав – «открытый для торгового мореплавания всех народов, вход в порты и воды оного формально и навсегда запрещается военным судам как прибрежным, так и все прочих Держав..». Нейтрализация была ликвидирована после франко-прусской войны 1870 г. В настоящее время судоходство в Черноморских проливах регулируется Конвенцией о режиме черноморских проливов от 20 июля 1936 г., согласно которой проливы открыты для свободного прохода торговых судов без какой-либо дискриминации флагов, осуществляется санитарный контроль, обязательная платная лоцманская проводка, уплата некоторых сборов. Если Турция участвует в войне, то суда противника лишаются права на проход, если не участвует, военные корабли любых воюющих государств права на проход не имеют. Введен особый порядок прохода для военных кораблей. </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Кроме того, была предусмотрена демилитаризация Аландских островов, которая в настоящее время регулируется Соглашением СССР и Финляндией об Аландских островах от 11 октября 1940 г. Демилитаризация означает особый, договорно установленный правовой режим определенных территорий и районов, пространственных сфер и космических тел, в соответствии с которым в них запрещаются все виды и формы военной деятельности, такие, например, как размещение вооруженных сил и вооружений, создание военных баз, установок и сооружений, испытание, размещение и хранение оружия массового уничтожения и его носителей, любого другого оружия, проведение военных маневров и учений, а также любая иная деятельность военного характера.</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b/>
          <w:bCs/>
          <w:sz w:val="28"/>
          <w:szCs w:val="20"/>
          <w:lang w:val="ru-RU"/>
        </w:rPr>
      </w:pPr>
      <w:r>
        <w:rPr>
          <w:rFonts w:ascii="Times New Roman" w:eastAsia="Times New Roman" w:hAnsi="Times New Roman" w:cs="Times New Roman"/>
          <w:szCs w:val="20"/>
          <w:lang w:val="ru-RU"/>
        </w:rPr>
        <w:br/>
      </w:r>
      <w:r>
        <w:rPr>
          <w:rFonts w:ascii="Times New Roman" w:eastAsia="Times New Roman" w:hAnsi="Times New Roman" w:cs="Times New Roman"/>
          <w:szCs w:val="20"/>
          <w:lang w:val="ru-RU"/>
        </w:rPr>
        <w:tab/>
      </w:r>
      <w:r>
        <w:rPr>
          <w:rFonts w:ascii="Times New Roman" w:eastAsia="Times New Roman" w:hAnsi="Times New Roman" w:cs="Times New Roman"/>
          <w:b/>
          <w:bCs/>
          <w:sz w:val="28"/>
          <w:szCs w:val="20"/>
          <w:lang w:val="ru-RU"/>
        </w:rPr>
        <w:t>Задание 3.</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i/>
          <w:iCs/>
          <w:sz w:val="22"/>
          <w:szCs w:val="20"/>
          <w:lang w:val="ru-RU"/>
        </w:rPr>
      </w:pPr>
      <w:r>
        <w:rPr>
          <w:rFonts w:ascii="Times New Roman" w:eastAsia="Times New Roman" w:hAnsi="Times New Roman" w:cs="Times New Roman"/>
          <w:i/>
          <w:iCs/>
          <w:sz w:val="22"/>
          <w:szCs w:val="20"/>
          <w:lang w:val="ru-RU"/>
        </w:rPr>
        <w:t xml:space="preserve">Историческое значение Гаагский конференций мира 1899 г. и 1907 г. в деле гуманизации средств и методов ведения войны, а также нормативного закрепления принципов мирного разрешения международных столкновений. </w:t>
      </w:r>
    </w:p>
    <w:p w:rsidR="00A034B4" w:rsidRDefault="00A034B4">
      <w:pPr>
        <w:pStyle w:val="noindent"/>
        <w:tabs>
          <w:tab w:val="left" w:pos="2361"/>
        </w:tabs>
        <w:spacing w:before="0" w:beforeAutospacing="0" w:after="0" w:afterAutospacing="0" w:line="360" w:lineRule="auto"/>
        <w:ind w:firstLine="576"/>
        <w:rPr>
          <w:rFonts w:ascii="Times New Roman" w:eastAsia="Times New Roman" w:hAnsi="Times New Roman" w:cs="Times New Roman"/>
          <w:b/>
          <w:bCs/>
          <w:szCs w:val="20"/>
          <w:lang w:val="ru-RU"/>
        </w:rPr>
      </w:pPr>
    </w:p>
    <w:p w:rsidR="00A034B4" w:rsidRDefault="007177A9">
      <w:pPr>
        <w:pStyle w:val="noindent"/>
        <w:spacing w:before="0" w:beforeAutospacing="0" w:after="0" w:afterAutospacing="0" w:line="360" w:lineRule="auto"/>
        <w:rPr>
          <w:rFonts w:ascii="Times New Roman" w:eastAsia="Times New Roman" w:hAnsi="Times New Roman" w:cs="Times New Roman"/>
          <w:szCs w:val="20"/>
          <w:lang w:val="ru-RU"/>
        </w:rPr>
      </w:pPr>
      <w:r>
        <w:rPr>
          <w:rFonts w:ascii="Times New Roman" w:eastAsia="Times New Roman" w:hAnsi="Times New Roman" w:cs="Times New Roman"/>
          <w:szCs w:val="20"/>
          <w:lang w:val="ru-RU"/>
        </w:rPr>
        <w:tab/>
        <w:t xml:space="preserve">Заметный вклад в развитие международного права внесли Гаагские конференции мира. Первая конференция собралась в Гааге 18 мая 1899 г., в ней приняли участие 26 государств. Она получила название «мирной»,  поскольку это был форум, который изначально мыслился инициатору его проведения – России, как международная конференция по ограничению гонки вооружений. И хотя никаких конкретных решений принято не было, все же стороны согласились, что «ограничение военных издержек, тяготеющих над миром, весьма желательно в интересах увеличения материального благосостояния человечества и поднятия его нравственного уровня», поэтому, по существу, эта конференция явилась первым опытом постановки вопроса о разоружении на базе многосторонней дипломатии. </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В первом пункте программы конференции (1899 г.), предложенной русским правительством в январе 1899 г., предусматривалось «заключение международного соглашения на подлежащей установлению срок, устанавливающего неувеличение существующих размеров состава мирного времени сухопутных и морских сил». На тот же срок предлагалось заморозить и существующий уровень военных бюджетов. Против предложений России резко выступила Германия, против также были США, Франция, Великобритания, поэтому, как было отмечено, никаких соглашений в области разоружения выработано не было.</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Участники Конференции подписали 17 июля 1899 г. Декларацию о неупотреблении снарядов, имеющим единственным назначением распространять удушающие или вредоносные газы (в настоящее время действует Протокол о запрещении применения на войне удушливых, ядовитых или других подобных газов и бактериологических средств от 17 июня 1925 г.), и Декларацию о неупотреблении легко разворачивающихся или сплющивающихся пуль, которая является и ныне действующей. Кроме того, были приняты Декларации о запрещении сроком на пять лет «метания снарядов и взрывчатых веществ с воздушных шаров или при помощи иных подобных новых способов». Таким образом, был придан мощный импульс и определены основные направления развития так называемого гаагского права, которое наряду с женевским правом составляет основу современного международного права, применяемого в период вооруженных конфликтов (всего сегодня это около 20 специальных соглашений). К важнейшим документам, действующим в этой сфере сегодня можно также отнести Конвенцию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от 10 апреля 1980 г.</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 xml:space="preserve">Таким образом, было бы неверно считать, что конференция 1899 г. оказалась бесплодной в политико-правовом плане. Ее историческое значение состоит в том, что она приняла ряд документов, ознаменовавших новый важный этап в деле кодификации и прогрессивного развития права вооруженных конфликтов. </w:t>
      </w:r>
    </w:p>
    <w:p w:rsidR="00A034B4" w:rsidRDefault="007177A9">
      <w:pPr>
        <w:pStyle w:val="noindent"/>
        <w:spacing w:before="0" w:beforeAutospacing="0" w:after="0" w:afterAutospacing="0" w:line="360" w:lineRule="auto"/>
        <w:rPr>
          <w:rFonts w:ascii="Times New Roman" w:eastAsia="Times New Roman" w:hAnsi="Times New Roman" w:cs="Times New Roman"/>
          <w:szCs w:val="20"/>
          <w:lang w:val="ru-RU"/>
        </w:rPr>
      </w:pPr>
      <w:r>
        <w:rPr>
          <w:rFonts w:ascii="Times New Roman" w:eastAsia="Times New Roman" w:hAnsi="Times New Roman" w:cs="Times New Roman"/>
          <w:szCs w:val="20"/>
          <w:lang w:val="ru-RU"/>
        </w:rPr>
        <w:tab/>
        <w:t>Опыт конференции 1899 г. был учтен при проведении следующей, Второй конференции мира 1906-1907 годов, созванной по инициативе России и США. На этот раз участники сосредоточили свое внимание лишь на юридических вопросах права войны. На этой конференции был сделан важный шаг по пути кодификации и прогрессивного развития права вооруженных конфликтов, в связи с принятием свыше десятка международно-правовых актов, регламентирующих действия государства в условиях войны.</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 xml:space="preserve">На второй Гаагской конференции мира (1906-1907 гг.) были приняты 10 новых конвенций и пересмотрены три акта 1899 г. Принятые документы охватывали следующий круг вопросов: 1) мирное разрешение международных споров; 2) ограничение в применении силы при взыскании по договорным долговым обязательствам; 3) порядок открытия военных действий; 4) законы и обычаи сухопутной войны; 5) законы и обычаи морской войны; 6) запрещение использовать яды, оружие, снаряды и вещества, способные причинить излишние страдания; 7) правила нейтралитета в сухопутной и морской войне. Гаагские конвенции являются действующими международно-правовыми актами (за исключением 12 конвенции об учреждении международного призового суда), признанными большинством государств мира. </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Принятие 5 (18) октября 1907 г. Конвенции о мирном разрешении международных столкновений фактически положило начало процессу нормативного наполнения принципа мирного разрешения международных споров, являющегося одним из основополагающих принципов современного международного права. В соответствии с этой конвенцией в была учреждена Постоянная палата третейского суда, компетентная для всех случаев третейского разбирательства, если только сторонами не будет заключено соглашение об установлении особого суда. Она послужила прототипом для последующих международных судебных органов – Постоянной палаты международного правосудия Лиги Наций и Международного суда ООН (Статут Международного Суда от 26 июня 1945 г.).</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Большое значение имела Конвенция об ограничении в применении силы при взыскании по договорным долговым обязательствам. Суть конвенции следует из ст. 1: «Договаривающиеся Державы согласились не прибегать к вооруженной силе для истребования договорных долгов, взыскиваемых Правительством одной страны с Правительства другой страны, как причитающихся ее подданным». Правда, конвенция содержала довольно существенное ограничение, заключавшееся в том, что отказ от вооруженных действий «не может иметь применения, когда Государство-должник отвергает или оставляет без ответа предложение о третейском разбирательстве или, в случае принятия такового, делает невозможным установление третейской записи, или после третейского разбирательства, уклоняется от исполнения поставленного решения».</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В настоящее время в ст. 33 главы 6 «Мирное разрешение споров» Устава ООН сказано, что «стороны, участвующие в любом споре, продолжение которого могла бы угрожать поддержанию международного мира и безопасности, должны прежде всего стараться разрешить спор путем переговоров, обследования, посредничества, примирения, арбитража, судебного разбирательства, обращения к региональным органам или соглашениям или иным мирным средствам по своему выбору..».</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3 Гаагская конвенция о порядке открытия военных действий постановила, что военные действия «не должны начинаться без предварительного и недвусмысленного предупреждения». Однако последнее, по мнению ее участников, могло быть и мотивированным, и носить характер ультиматума. Посредством этой оговорки были существенно ограничены гуманные постановления остальных конвенций. В конвенции были признаны важнейшие принципы законов и обычаев сухопутной войны: разграничение комбатантов и некомбатантов; право населения на вооруженное сопротивление; подробная регламентация прав военнопленных; запрещение использовать яды, оружие, снаряды и вещества, способные причинить излишние страдания; запрет истреблять и захватывать неприятельскую собственность, если это «настоятельно не вызывается военной необходимостью»; запрет убивать сдавшихся и «объявлять, что никому не будет дано пощады»; требование к командирам принимать все возможные меры к охране памятников старины и культуры, а также медицинских учреждений; запрет отдавать на разграбление города и местности, даже взятые приступом; была запрещена конфискация частной собственности и грабежей, но допускалось взимание налогов, пошлин и других денежных сборов «по возможности сообразно с существующими правилами» и пр. События двух мировых войн показали, что действенность в том числе этой конвенции не была достаточно значительной, хотя она, несомненно, ограничивала в ряде случаев произвол сторон, что, конечно, не относится к действиям гитлеровской Германии и ее союзников. В продолжение этой конвенции были приняты, в частности, Конвенция об обращении с военнопленными от 12 августа 1949 г. и Дополнительные протоколы 1 и 2 1977 г. (в части международно-правовой защиты военнопленных); Конвенция о защите культурных ценностей в случае вооруженного конфликта от 14 мая 1954 г. и Четвертая Женевская конвенция 1949 г. (в части международно-правовой защиты гражданского населения и культурных ценностей).</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Еще одна конвенция была посвящена правам и обязанностям нейтральных держав в сухопутной войне. Воюющим сторонам запрещалось проводить через нее свои войска, создавать и пользоваться сооружениями, предназначенными для вооруженных действий. В свою очередь, нейтральные государства были обязаны соблюдать равное отношение ко всем участникам конфликта. При этом отражение нейтральной державой, даже силой, покушений на ее нейтралитет не рассматривалось как враждебное действие.</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 xml:space="preserve">В Гааге было принято 8 конвенций, посвященных войне на море. Они регламентировали следующий круг вопросов:  об обращении торговых судов в военные; о начале военных действий и положении неприятельских торговых судов; о постановке мин и бомбардировках; о применении к морской войне начал Женевской конвенции; о больных и раненых; о праве захвата; об учреждении Мировой призовой палаты (не действует в настоящее время); о правах и обязанностях нейтральных держав в морской войне. Гаагские конвенции были дополнены на Лондонской морской конференции 1908-1909 гг. и вошли в принятую там Декларацию о праве морской войны, которая определила юридические нормы морской блокады, военной контрабанды и порядок оказания услуг воюющим со стороны нейтральных держав, а также более частные моменты – о порядке перемены флага, определении принадлежности груза нейтральной или неприятельской стороны, о конвоях и вознаграждении за убытки. Важно отметить, что значительная часть этих постановлений оказалась сформулирована столь удачно, что они сохранили силу на протяжении почти всего текущего столетия. Несмотря на то, что Декларацию о праве морской войны подписали многие государства, она так и не вступила в силу, поскольку не получила достаточного для этого количества ратификаций. </w:t>
      </w:r>
    </w:p>
    <w:p w:rsidR="00A034B4" w:rsidRDefault="007177A9">
      <w:pPr>
        <w:pStyle w:val="noindent"/>
        <w:spacing w:before="0" w:beforeAutospacing="0" w:after="0" w:afterAutospacing="0" w:line="360" w:lineRule="auto"/>
        <w:rPr>
          <w:rFonts w:ascii="Times New Roman" w:eastAsia="Times New Roman" w:hAnsi="Times New Roman" w:cs="Times New Roman"/>
          <w:szCs w:val="20"/>
          <w:lang w:val="ru-RU"/>
        </w:rPr>
      </w:pPr>
      <w:r>
        <w:rPr>
          <w:rFonts w:ascii="Times New Roman" w:eastAsia="Times New Roman" w:hAnsi="Times New Roman" w:cs="Times New Roman"/>
          <w:szCs w:val="20"/>
          <w:lang w:val="ru-RU"/>
        </w:rPr>
        <w:tab/>
        <w:t>Конвенции, принятые на Гаагской конференции мира 1907 г., явились результатом первой в истории международного права крупной кодификации правил ведения войны и мирного разрешения международных споров. Многие из этих правил до Гаагских конференций мира имели обычно-правовой характер. Документы Гаагских конференций мира явились вехой в формировании международного гуманитарного права.</w:t>
      </w:r>
    </w:p>
    <w:p w:rsidR="00A034B4" w:rsidRDefault="00A034B4">
      <w:pPr>
        <w:pStyle w:val="noindent"/>
        <w:spacing w:before="0" w:beforeAutospacing="0" w:after="0" w:afterAutospacing="0" w:line="360" w:lineRule="auto"/>
        <w:rPr>
          <w:rFonts w:ascii="Times New Roman" w:eastAsia="Times New Roman" w:hAnsi="Times New Roman" w:cs="Times New Roman"/>
          <w:szCs w:val="20"/>
          <w:lang w:val="ru-RU"/>
        </w:rPr>
      </w:pPr>
    </w:p>
    <w:p w:rsidR="00A034B4" w:rsidRDefault="007177A9">
      <w:pPr>
        <w:pStyle w:val="noindent"/>
        <w:tabs>
          <w:tab w:val="left" w:pos="2361"/>
        </w:tabs>
        <w:spacing w:before="0" w:beforeAutospacing="0" w:after="0" w:afterAutospacing="0" w:line="360" w:lineRule="auto"/>
        <w:ind w:firstLine="576"/>
        <w:rPr>
          <w:rFonts w:ascii="Times New Roman" w:eastAsia="Times New Roman" w:hAnsi="Times New Roman" w:cs="Times New Roman"/>
          <w:b/>
          <w:bCs/>
          <w:szCs w:val="20"/>
          <w:lang w:val="ru-RU"/>
        </w:rPr>
      </w:pPr>
      <w:r>
        <w:rPr>
          <w:rFonts w:ascii="Times New Roman" w:eastAsia="Times New Roman" w:hAnsi="Times New Roman" w:cs="Times New Roman"/>
          <w:b/>
          <w:bCs/>
          <w:szCs w:val="20"/>
          <w:lang w:val="ru-RU"/>
        </w:rPr>
        <w:t>Задача.</w:t>
      </w:r>
    </w:p>
    <w:p w:rsidR="00A034B4" w:rsidRDefault="007177A9">
      <w:pPr>
        <w:pStyle w:val="noindent"/>
        <w:spacing w:before="0" w:beforeAutospacing="0" w:after="0" w:afterAutospacing="0" w:line="360" w:lineRule="auto"/>
        <w:rPr>
          <w:rFonts w:ascii="Times New Roman" w:eastAsia="Times New Roman" w:hAnsi="Times New Roman" w:cs="Times New Roman"/>
          <w:i/>
          <w:iCs/>
          <w:sz w:val="22"/>
          <w:szCs w:val="20"/>
          <w:lang w:val="ru-RU"/>
        </w:rPr>
      </w:pPr>
      <w:r>
        <w:rPr>
          <w:rFonts w:ascii="Times New Roman" w:eastAsia="Times New Roman" w:hAnsi="Times New Roman" w:cs="Times New Roman"/>
          <w:i/>
          <w:iCs/>
          <w:sz w:val="22"/>
          <w:szCs w:val="20"/>
          <w:lang w:val="ru-RU"/>
        </w:rPr>
        <w:tab/>
        <w:t xml:space="preserve">Если считать верным утверждение, что 19 век «дал человечеству цивилизацию и культуру» (Лукашук И.И. Международное право. Общая часть. М., БЕК, 1996, с. 50), то следует также признать бесспорным мнение о том, что «элементом этой культуры и цивилизации является международное право» (там же). Важнейший вклад в развитие этой правовой системы внесли, в частности, Венский и Парижский мирный конгрессы, оформившие своими решениями окончание наполеоновский войн и так называемом «Крымской кампании». Был дан импульс развитию ряда отраслей международного права, включая регулирование торгового судоходства по международным рекам и проливам, нейтрализацию и демилитаризацию некоторых пространственных сфер,  защиту прав человека, создание международных союзов, деятельность в области внешних сношений. </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i/>
          <w:iCs/>
          <w:sz w:val="22"/>
          <w:szCs w:val="20"/>
          <w:lang w:val="ru-RU"/>
        </w:rPr>
      </w:pPr>
      <w:r>
        <w:rPr>
          <w:rFonts w:ascii="Times New Roman" w:eastAsia="Times New Roman" w:hAnsi="Times New Roman" w:cs="Times New Roman"/>
          <w:i/>
          <w:iCs/>
          <w:sz w:val="22"/>
          <w:szCs w:val="20"/>
          <w:lang w:val="ru-RU"/>
        </w:rPr>
        <w:t>Как конкретно решения вышеназванных форумов повлияли на развитие некоторых специальных принципов и норм современного международного права.</w:t>
      </w:r>
    </w:p>
    <w:p w:rsidR="00A034B4" w:rsidRDefault="00A034B4">
      <w:pPr>
        <w:pStyle w:val="noindent"/>
        <w:spacing w:before="0" w:beforeAutospacing="0" w:after="0" w:afterAutospacing="0" w:line="360" w:lineRule="auto"/>
        <w:rPr>
          <w:rFonts w:ascii="Times New Roman" w:eastAsia="Times New Roman" w:hAnsi="Times New Roman" w:cs="Times New Roman"/>
          <w:i/>
          <w:iCs/>
          <w:sz w:val="22"/>
          <w:szCs w:val="20"/>
          <w:lang w:val="ru-RU"/>
        </w:rPr>
      </w:pPr>
    </w:p>
    <w:p w:rsidR="00A034B4" w:rsidRDefault="007177A9">
      <w:pPr>
        <w:pStyle w:val="noindent"/>
        <w:spacing w:before="0" w:beforeAutospacing="0" w:after="0" w:afterAutospacing="0" w:line="360" w:lineRule="auto"/>
        <w:rPr>
          <w:rFonts w:ascii="Times New Roman" w:eastAsia="Times New Roman" w:hAnsi="Times New Roman" w:cs="Times New Roman"/>
          <w:b/>
          <w:bCs/>
          <w:szCs w:val="20"/>
          <w:lang w:val="ru-RU"/>
        </w:rPr>
      </w:pPr>
      <w:r>
        <w:rPr>
          <w:rFonts w:ascii="Times New Roman" w:eastAsia="Times New Roman" w:hAnsi="Times New Roman" w:cs="Times New Roman"/>
          <w:szCs w:val="20"/>
          <w:lang w:val="ru-RU"/>
        </w:rPr>
        <w:tab/>
        <w:t>Принцип уважения прав и основных свобод человека, а также специальный принцип запрещения всех форм и видов дискриминации</w:t>
      </w:r>
      <w:r>
        <w:rPr>
          <w:rFonts w:ascii="Times New Roman" w:eastAsia="Times New Roman" w:hAnsi="Times New Roman" w:cs="Times New Roman"/>
          <w:b/>
          <w:bCs/>
          <w:szCs w:val="20"/>
          <w:lang w:val="ru-RU"/>
        </w:rPr>
        <w:t xml:space="preserve"> </w:t>
      </w:r>
      <w:r>
        <w:rPr>
          <w:rFonts w:ascii="Times New Roman" w:eastAsia="Times New Roman" w:hAnsi="Times New Roman" w:cs="Times New Roman"/>
          <w:szCs w:val="20"/>
          <w:lang w:val="ru-RU"/>
        </w:rPr>
        <w:t>прямо связан с принятием на Венском конгрессе 8 февраля 1815 г. Декларации держав о прекращении торговли неграми. Декларация не указала точную дату прекращения торговли, и констатировала, что «</w:t>
      </w:r>
      <w:r>
        <w:rPr>
          <w:rFonts w:ascii="Times New Roman" w:hAnsi="Times New Roman" w:cs="Times New Roman"/>
          <w:lang w:val="ru-RU"/>
        </w:rPr>
        <w:t>определение срока, к коему сия ненавистная торговля должна быть прекращена повсюду, остается предметом переговоров между дворами», однако она явилась одним из первых актов официально осудивших и заложившим некоторые предпосылки фактической отмены рабства.</w:t>
      </w:r>
    </w:p>
    <w:p w:rsidR="00A034B4" w:rsidRDefault="007177A9">
      <w:pPr>
        <w:pStyle w:val="noindent"/>
        <w:spacing w:before="0" w:beforeAutospacing="0" w:after="0" w:afterAutospacing="0" w:line="360" w:lineRule="auto"/>
        <w:rPr>
          <w:rFonts w:ascii="Times New Roman" w:eastAsia="Times New Roman" w:hAnsi="Times New Roman" w:cs="Times New Roman"/>
          <w:szCs w:val="20"/>
          <w:lang w:val="ru-RU"/>
        </w:rPr>
      </w:pPr>
      <w:r>
        <w:rPr>
          <w:rFonts w:ascii="Times New Roman" w:eastAsia="Times New Roman" w:hAnsi="Times New Roman" w:cs="Times New Roman"/>
          <w:szCs w:val="20"/>
          <w:lang w:val="ru-RU"/>
        </w:rPr>
        <w:tab/>
        <w:t>Становление принципа мирного урегулирования споров, а также принципа запрещения применения силы или угрозы силой тесно связано с такими международно-правовыми актами, как Гаагские: Конвенция о международном регулировании споров и Конвенция об ограничении применения силы при взыскании по долговым обязательствам. Принятие 5 (18) октября 1907 г. Конвенции о мирном разрешении международных столкновений фактически положило начало процессу нормативного наполнения принципа мирного разрешения международных споров, являющегося одним из основополагающих принципов современного международного права. В качестве универсальной нормы этот принцип существует лишь с 1945 г., с включения в Устав ООН, но как многосторонняя норма он применялся уже после указанной Гаагской конвенции. Кроме того, в становлении этих принципов определенное значение сыграла Конвенция об ограничении в применении силы при взыскании по договорным долговым обязательствам, которая установила, что: «Договаривающиеся Державы согласились не прибегать к вооруженной силе для истребования договорных долгов, взыскиваемых Правительством одной страны с Правительства другой страны, как причитающихся ее подданным». Однако, довольно существенное ограничение, включенное в Конвенцию, заключавшееся в том, что отказ от вооруженных действий «не может иметь применения, когда Государство-должник отвергает или оставляет без ответа предложение о третейском разбирательстве или, в случае принятия такового, делает невозможным установление третейской записи, или после третейского разбирательства, уклоняется от исполнения поставленного решения», не способствовало укреплению рассматриваемых принципов.</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Первым опытом постановки вопроса о разоружении, и следовательно, формирования принципа всеобщего и полного разоружения, явилась Первая Гаагская Конференция, которая изначально мыслилась инициатору ее проведения – России, как международная конференция по ограничению гонки вооружений. И хотя никаких конкретных решений принято не было, все же стороны согласились, что «ограничения военных издержек, тяготеющих над миром, весьма желательно в интересах увеличения материального благосостояния человечества и поднятия его нравственного уровня», что, вероятно, закрепило основы указанного принципа. Кроме того, ряд подписанных Деклараций (например, Декларация о неупотреблении снарядов, имеющим единственным назначением распространять удушающие или вредоносные газы, Декларация о неупотреблении легко разворачивающихся или сплющивающихся пуль), заложили основы норм, призванных регулировать вооружение и сократить и остановить гонку вооружений.</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Парижский конгресс ввел в международное право понятия институтов нейтрализации и демилитаризации. Конгресс объявил нейтрализованным Черное море, и несмотря на то, что нейтрализация в дальнейшем была ликвидирована, институт нейтрализации принадлежит к праву территорий и других пространств и установлен в качестве правового режима для ряда территорий. То же касается и института демилитаризации, за исключением того, что Аландские острова демилитаризованы и в настоящее время.</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Венский и Парижский Конгрессы и Гаагские Конференции рассмотрели ряд вопросов морского права, в основном касавшихся обеспечения свободы действий военных флотов (отмена каперства, свобода военного мореплавания на Черном море, на Дунае и др.) и постановили ряд норм, касающихся частичной регламентации деятельности военных флотов во время морской войны (права и обязанности нейтральных держав во время морской войны, ограничение права захвата на море, ограничение использования минного оружия и пр.)</w:t>
      </w:r>
    </w:p>
    <w:p w:rsidR="00A034B4" w:rsidRDefault="007177A9">
      <w:pPr>
        <w:pStyle w:val="noindent"/>
        <w:spacing w:before="0" w:beforeAutospacing="0" w:after="0" w:afterAutospacing="0" w:line="360" w:lineRule="auto"/>
        <w:ind w:firstLine="576"/>
        <w:rPr>
          <w:rFonts w:ascii="Times New Roman" w:eastAsia="Times New Roman" w:hAnsi="Times New Roman" w:cs="Times New Roman"/>
          <w:szCs w:val="20"/>
          <w:lang w:val="ru-RU"/>
        </w:rPr>
      </w:pPr>
      <w:r>
        <w:rPr>
          <w:rFonts w:ascii="Times New Roman" w:eastAsia="Times New Roman" w:hAnsi="Times New Roman" w:cs="Times New Roman"/>
          <w:szCs w:val="20"/>
          <w:lang w:val="ru-RU"/>
        </w:rPr>
        <w:t>Парижский конгресс и Гаагские конференции мира внесли существенный вклад в международное право в период вооруженных конфликтов, преобразовав ряд международных обычаев ведения войны в договорные нормы и непосредственным образом повлияв на формирование таких специальных принципов данной отрасли права, как принцип ограничения воюющих в выборе средств и методов ведения войны; принцип запрещения использовать оружие, которое увеличивает страдания людей, делает их смерть неизбежной или имеет неизбирательное действие; принцип защиты жертв войны и пр. К числу соглашений, оказавших влияние на формирование этих принципов, относятся, Декларация о морской войне 1856 г., Декларация о неупотреблении легко разворачивающихся и сплющивающихся пуль 1899 г., Гаагская конвенция о постановке подводных, автоматически взрывающихся от соприкосновения мин, Гаагская конвенция об открытии военных действий, о законах и обычаях сухопутной войны и пр.</w:t>
      </w:r>
    </w:p>
    <w:p w:rsidR="00A034B4" w:rsidRDefault="00A034B4">
      <w:pPr>
        <w:pStyle w:val="noindent"/>
        <w:spacing w:before="0" w:beforeAutospacing="0" w:after="0" w:afterAutospacing="0" w:line="360" w:lineRule="auto"/>
        <w:ind w:firstLine="576"/>
        <w:rPr>
          <w:rFonts w:ascii="Times New Roman" w:eastAsia="Times New Roman" w:hAnsi="Times New Roman" w:cs="Times New Roman"/>
          <w:szCs w:val="20"/>
          <w:lang w:val="ru-RU"/>
        </w:rPr>
      </w:pPr>
    </w:p>
    <w:p w:rsidR="00A034B4" w:rsidRDefault="00A034B4">
      <w:pPr>
        <w:pStyle w:val="noindent"/>
        <w:spacing w:before="0" w:beforeAutospacing="0" w:after="0" w:afterAutospacing="0" w:line="360" w:lineRule="auto"/>
        <w:rPr>
          <w:rFonts w:ascii="Times New Roman" w:eastAsia="Times New Roman" w:hAnsi="Times New Roman" w:cs="Times New Roman"/>
          <w:szCs w:val="20"/>
          <w:lang w:val="ru-RU"/>
        </w:rPr>
      </w:pPr>
    </w:p>
    <w:p w:rsidR="00A034B4" w:rsidRDefault="00A034B4">
      <w:pPr>
        <w:pStyle w:val="noindent"/>
        <w:spacing w:before="0" w:beforeAutospacing="0" w:after="0" w:afterAutospacing="0" w:line="360" w:lineRule="auto"/>
        <w:rPr>
          <w:rFonts w:ascii="Times New Roman" w:eastAsia="Times New Roman" w:hAnsi="Times New Roman" w:cs="Times New Roman"/>
          <w:szCs w:val="20"/>
          <w:lang w:val="ru-RU"/>
        </w:rPr>
        <w:sectPr w:rsidR="00A034B4">
          <w:footerReference w:type="even" r:id="rId7"/>
          <w:footerReference w:type="default" r:id="rId8"/>
          <w:type w:val="oddPage"/>
          <w:pgSz w:w="11909" w:h="16834" w:code="9"/>
          <w:pgMar w:top="1440" w:right="1797" w:bottom="1151" w:left="1797" w:header="720" w:footer="720" w:gutter="0"/>
          <w:cols w:space="720"/>
        </w:sectPr>
      </w:pPr>
    </w:p>
    <w:p w:rsidR="00A034B4" w:rsidRDefault="00A034B4">
      <w:pPr>
        <w:spacing w:line="360" w:lineRule="auto"/>
        <w:jc w:val="both"/>
        <w:rPr>
          <w:lang w:val="ru-RU"/>
        </w:rPr>
      </w:pPr>
    </w:p>
    <w:p w:rsidR="00A034B4" w:rsidRDefault="007177A9">
      <w:pPr>
        <w:pStyle w:val="1"/>
      </w:pPr>
      <w:bookmarkStart w:id="0" w:name="_Toc36879961"/>
      <w:r>
        <w:t>Список литературы</w:t>
      </w:r>
      <w:bookmarkEnd w:id="0"/>
    </w:p>
    <w:p w:rsidR="00A034B4" w:rsidRDefault="00A034B4">
      <w:pPr>
        <w:spacing w:line="360" w:lineRule="auto"/>
        <w:jc w:val="both"/>
        <w:rPr>
          <w:lang w:val="ru-RU"/>
        </w:rPr>
      </w:pPr>
    </w:p>
    <w:p w:rsidR="00A034B4" w:rsidRDefault="00A034B4">
      <w:pPr>
        <w:spacing w:line="360" w:lineRule="auto"/>
        <w:ind w:firstLine="576"/>
        <w:jc w:val="both"/>
        <w:rPr>
          <w:lang w:val="ru-RU"/>
        </w:rPr>
      </w:pPr>
    </w:p>
    <w:p w:rsidR="00A034B4" w:rsidRDefault="007177A9">
      <w:pPr>
        <w:numPr>
          <w:ilvl w:val="0"/>
          <w:numId w:val="38"/>
        </w:numPr>
        <w:spacing w:line="360" w:lineRule="auto"/>
        <w:jc w:val="both"/>
        <w:rPr>
          <w:lang w:val="ru-RU"/>
        </w:rPr>
      </w:pPr>
      <w:r>
        <w:rPr>
          <w:lang w:val="ru-RU"/>
        </w:rPr>
        <w:t>Баскин Ю.Я., Фельдман Д.И. История международного права. М., 1990. с. 118-127</w:t>
      </w:r>
    </w:p>
    <w:p w:rsidR="00A034B4" w:rsidRDefault="007177A9">
      <w:pPr>
        <w:numPr>
          <w:ilvl w:val="0"/>
          <w:numId w:val="38"/>
        </w:numPr>
        <w:spacing w:line="360" w:lineRule="auto"/>
        <w:jc w:val="both"/>
        <w:rPr>
          <w:lang w:val="ru-RU"/>
        </w:rPr>
      </w:pPr>
      <w:r>
        <w:rPr>
          <w:lang w:val="ru-RU"/>
        </w:rPr>
        <w:t>Левин Д.Б. История международного права. М., 1962. с. 61-67</w:t>
      </w:r>
    </w:p>
    <w:p w:rsidR="00A034B4" w:rsidRDefault="007177A9">
      <w:pPr>
        <w:numPr>
          <w:ilvl w:val="0"/>
          <w:numId w:val="38"/>
        </w:numPr>
        <w:spacing w:line="360" w:lineRule="auto"/>
        <w:jc w:val="both"/>
        <w:rPr>
          <w:lang w:val="ru-RU"/>
        </w:rPr>
      </w:pPr>
      <w:r>
        <w:rPr>
          <w:lang w:val="ru-RU"/>
        </w:rPr>
        <w:t>Международное право. Учебник для вузов. Отв. Редактор проф. Игнатенко Е.В. и проф. Тиунов О.И. М., 2003.</w:t>
      </w:r>
    </w:p>
    <w:p w:rsidR="00A034B4" w:rsidRDefault="007177A9">
      <w:pPr>
        <w:numPr>
          <w:ilvl w:val="0"/>
          <w:numId w:val="38"/>
        </w:numPr>
        <w:spacing w:line="360" w:lineRule="auto"/>
        <w:jc w:val="both"/>
        <w:rPr>
          <w:lang w:val="ru-RU"/>
        </w:rPr>
      </w:pPr>
      <w:r>
        <w:rPr>
          <w:lang w:val="ru-RU"/>
        </w:rPr>
        <w:t>Международное право в документах: Учебное пособие. М., 2003.</w:t>
      </w:r>
    </w:p>
    <w:p w:rsidR="00A034B4" w:rsidRDefault="007177A9">
      <w:pPr>
        <w:numPr>
          <w:ilvl w:val="0"/>
          <w:numId w:val="38"/>
        </w:numPr>
        <w:spacing w:line="360" w:lineRule="auto"/>
        <w:jc w:val="both"/>
        <w:rPr>
          <w:lang w:val="ru-RU"/>
        </w:rPr>
      </w:pPr>
      <w:r>
        <w:rPr>
          <w:lang w:val="ru-RU"/>
        </w:rPr>
        <w:t>Международное публичное право. Учебник. Под редакцией д.ю.н. проф. Бекяшева К.А. М., 2003.</w:t>
      </w:r>
    </w:p>
    <w:p w:rsidR="00A034B4" w:rsidRDefault="007177A9">
      <w:pPr>
        <w:numPr>
          <w:ilvl w:val="0"/>
          <w:numId w:val="38"/>
        </w:numPr>
        <w:spacing w:line="360" w:lineRule="auto"/>
        <w:jc w:val="both"/>
        <w:rPr>
          <w:lang w:val="ru-RU"/>
        </w:rPr>
      </w:pPr>
      <w:r>
        <w:rPr>
          <w:lang w:val="ru-RU"/>
        </w:rPr>
        <w:t>Международные договоры и акты нового времени. Проф. Коровин Е.А. Под общей редакцией проф. Магеровского Д.А. М., 1924. с. 11-30.</w:t>
      </w:r>
    </w:p>
    <w:p w:rsidR="00A034B4" w:rsidRDefault="007177A9">
      <w:pPr>
        <w:numPr>
          <w:ilvl w:val="0"/>
          <w:numId w:val="38"/>
        </w:numPr>
        <w:spacing w:line="360" w:lineRule="auto"/>
        <w:jc w:val="both"/>
        <w:rPr>
          <w:lang w:val="ru-RU"/>
        </w:rPr>
      </w:pPr>
      <w:r>
        <w:rPr>
          <w:lang w:val="ru-RU"/>
        </w:rPr>
        <w:t>Российская юридическая энциклопедия. Гл. редактор Сухарев А.Я. М., 1999.</w:t>
      </w:r>
    </w:p>
    <w:p w:rsidR="00A034B4" w:rsidRDefault="007177A9">
      <w:pPr>
        <w:numPr>
          <w:ilvl w:val="0"/>
          <w:numId w:val="38"/>
        </w:numPr>
        <w:spacing w:line="360" w:lineRule="auto"/>
        <w:jc w:val="both"/>
        <w:rPr>
          <w:lang w:val="ru-RU"/>
        </w:rPr>
      </w:pPr>
      <w:r>
        <w:rPr>
          <w:lang w:val="ru-RU"/>
        </w:rPr>
        <w:t>Российский ежегодник международного права. Статья Егорова С.А. «Первая Гаагская конференция мира: история и современность». М., 1997. с. 117-127.</w:t>
      </w:r>
    </w:p>
    <w:p w:rsidR="00A034B4" w:rsidRDefault="00A034B4">
      <w:pPr>
        <w:spacing w:line="360" w:lineRule="auto"/>
        <w:ind w:left="576"/>
        <w:jc w:val="both"/>
        <w:rPr>
          <w:lang w:val="ru-RU"/>
        </w:rPr>
      </w:pPr>
    </w:p>
    <w:p w:rsidR="00A034B4" w:rsidRDefault="00A034B4">
      <w:pPr>
        <w:spacing w:line="360" w:lineRule="auto"/>
        <w:ind w:left="576"/>
        <w:jc w:val="both"/>
        <w:rPr>
          <w:lang w:val="ru-RU"/>
        </w:rPr>
      </w:pPr>
    </w:p>
    <w:p w:rsidR="00A034B4" w:rsidRDefault="00A034B4">
      <w:pPr>
        <w:spacing w:line="360" w:lineRule="auto"/>
        <w:ind w:left="360"/>
        <w:rPr>
          <w:lang w:val="ru-RU"/>
        </w:rPr>
      </w:pPr>
    </w:p>
    <w:p w:rsidR="00A034B4" w:rsidRDefault="00A034B4">
      <w:pPr>
        <w:spacing w:line="360" w:lineRule="auto"/>
        <w:jc w:val="both"/>
        <w:rPr>
          <w:lang w:val="ru-RU"/>
        </w:rPr>
      </w:pPr>
    </w:p>
    <w:p w:rsidR="00A034B4" w:rsidRDefault="00A034B4">
      <w:pPr>
        <w:spacing w:line="360" w:lineRule="auto"/>
        <w:jc w:val="both"/>
        <w:rPr>
          <w:lang w:val="ru-RU"/>
        </w:rPr>
      </w:pPr>
    </w:p>
    <w:p w:rsidR="00A034B4" w:rsidRDefault="00A034B4">
      <w:pPr>
        <w:spacing w:line="360" w:lineRule="auto"/>
        <w:jc w:val="both"/>
        <w:rPr>
          <w:lang w:val="ru-RU"/>
        </w:rPr>
      </w:pPr>
      <w:bookmarkStart w:id="1" w:name="_GoBack"/>
      <w:bookmarkEnd w:id="1"/>
    </w:p>
    <w:sectPr w:rsidR="00A034B4">
      <w:footerReference w:type="even" r:id="rId9"/>
      <w:footerReference w:type="default" r:id="rId10"/>
      <w:pgSz w:w="11909" w:h="16834" w:code="9"/>
      <w:pgMar w:top="1440" w:right="1800"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4B4" w:rsidRDefault="007177A9">
      <w:r>
        <w:separator/>
      </w:r>
    </w:p>
  </w:endnote>
  <w:endnote w:type="continuationSeparator" w:id="0">
    <w:p w:rsidR="00A034B4" w:rsidRDefault="0071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4B4" w:rsidRDefault="007177A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034B4" w:rsidRDefault="00A034B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4B4" w:rsidRDefault="007177A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A034B4" w:rsidRDefault="00A034B4">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4B4" w:rsidRDefault="007177A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034B4" w:rsidRDefault="00A034B4">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4B4" w:rsidRDefault="007177A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rsidR="00A034B4" w:rsidRDefault="00A034B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4B4" w:rsidRDefault="007177A9">
      <w:r>
        <w:separator/>
      </w:r>
    </w:p>
  </w:footnote>
  <w:footnote w:type="continuationSeparator" w:id="0">
    <w:p w:rsidR="00A034B4" w:rsidRDefault="00717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0693"/>
    <w:multiLevelType w:val="hybridMultilevel"/>
    <w:tmpl w:val="B2C02416"/>
    <w:lvl w:ilvl="0" w:tplc="DABAB67A">
      <w:start w:val="1"/>
      <w:numFmt w:val="bullet"/>
      <w:lvlText w:val=""/>
      <w:lvlJc w:val="left"/>
      <w:pPr>
        <w:tabs>
          <w:tab w:val="num" w:pos="720"/>
        </w:tabs>
        <w:ind w:left="720" w:hanging="360"/>
      </w:pPr>
      <w:rPr>
        <w:rFonts w:ascii="Symbol" w:hAnsi="Symbol" w:hint="default"/>
        <w:sz w:val="20"/>
      </w:rPr>
    </w:lvl>
    <w:lvl w:ilvl="1" w:tplc="0F9AC51E" w:tentative="1">
      <w:start w:val="1"/>
      <w:numFmt w:val="bullet"/>
      <w:lvlText w:val="o"/>
      <w:lvlJc w:val="left"/>
      <w:pPr>
        <w:tabs>
          <w:tab w:val="num" w:pos="1440"/>
        </w:tabs>
        <w:ind w:left="1440" w:hanging="360"/>
      </w:pPr>
      <w:rPr>
        <w:rFonts w:ascii="Courier New" w:hAnsi="Courier New" w:hint="default"/>
        <w:sz w:val="20"/>
      </w:rPr>
    </w:lvl>
    <w:lvl w:ilvl="2" w:tplc="99061DFC" w:tentative="1">
      <w:start w:val="1"/>
      <w:numFmt w:val="bullet"/>
      <w:lvlText w:val=""/>
      <w:lvlJc w:val="left"/>
      <w:pPr>
        <w:tabs>
          <w:tab w:val="num" w:pos="2160"/>
        </w:tabs>
        <w:ind w:left="2160" w:hanging="360"/>
      </w:pPr>
      <w:rPr>
        <w:rFonts w:ascii="Wingdings" w:hAnsi="Wingdings" w:hint="default"/>
        <w:sz w:val="20"/>
      </w:rPr>
    </w:lvl>
    <w:lvl w:ilvl="3" w:tplc="BD5AB56E" w:tentative="1">
      <w:start w:val="1"/>
      <w:numFmt w:val="bullet"/>
      <w:lvlText w:val=""/>
      <w:lvlJc w:val="left"/>
      <w:pPr>
        <w:tabs>
          <w:tab w:val="num" w:pos="2880"/>
        </w:tabs>
        <w:ind w:left="2880" w:hanging="360"/>
      </w:pPr>
      <w:rPr>
        <w:rFonts w:ascii="Wingdings" w:hAnsi="Wingdings" w:hint="default"/>
        <w:sz w:val="20"/>
      </w:rPr>
    </w:lvl>
    <w:lvl w:ilvl="4" w:tplc="BD4A7A38" w:tentative="1">
      <w:start w:val="1"/>
      <w:numFmt w:val="bullet"/>
      <w:lvlText w:val=""/>
      <w:lvlJc w:val="left"/>
      <w:pPr>
        <w:tabs>
          <w:tab w:val="num" w:pos="3600"/>
        </w:tabs>
        <w:ind w:left="3600" w:hanging="360"/>
      </w:pPr>
      <w:rPr>
        <w:rFonts w:ascii="Wingdings" w:hAnsi="Wingdings" w:hint="default"/>
        <w:sz w:val="20"/>
      </w:rPr>
    </w:lvl>
    <w:lvl w:ilvl="5" w:tplc="49026490" w:tentative="1">
      <w:start w:val="1"/>
      <w:numFmt w:val="bullet"/>
      <w:lvlText w:val=""/>
      <w:lvlJc w:val="left"/>
      <w:pPr>
        <w:tabs>
          <w:tab w:val="num" w:pos="4320"/>
        </w:tabs>
        <w:ind w:left="4320" w:hanging="360"/>
      </w:pPr>
      <w:rPr>
        <w:rFonts w:ascii="Wingdings" w:hAnsi="Wingdings" w:hint="default"/>
        <w:sz w:val="20"/>
      </w:rPr>
    </w:lvl>
    <w:lvl w:ilvl="6" w:tplc="661494C8" w:tentative="1">
      <w:start w:val="1"/>
      <w:numFmt w:val="bullet"/>
      <w:lvlText w:val=""/>
      <w:lvlJc w:val="left"/>
      <w:pPr>
        <w:tabs>
          <w:tab w:val="num" w:pos="5040"/>
        </w:tabs>
        <w:ind w:left="5040" w:hanging="360"/>
      </w:pPr>
      <w:rPr>
        <w:rFonts w:ascii="Wingdings" w:hAnsi="Wingdings" w:hint="default"/>
        <w:sz w:val="20"/>
      </w:rPr>
    </w:lvl>
    <w:lvl w:ilvl="7" w:tplc="3DA8C246" w:tentative="1">
      <w:start w:val="1"/>
      <w:numFmt w:val="bullet"/>
      <w:lvlText w:val=""/>
      <w:lvlJc w:val="left"/>
      <w:pPr>
        <w:tabs>
          <w:tab w:val="num" w:pos="5760"/>
        </w:tabs>
        <w:ind w:left="5760" w:hanging="360"/>
      </w:pPr>
      <w:rPr>
        <w:rFonts w:ascii="Wingdings" w:hAnsi="Wingdings" w:hint="default"/>
        <w:sz w:val="20"/>
      </w:rPr>
    </w:lvl>
    <w:lvl w:ilvl="8" w:tplc="69323904"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50EC9"/>
    <w:multiLevelType w:val="hybridMultilevel"/>
    <w:tmpl w:val="C3901C6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2A6446"/>
    <w:multiLevelType w:val="hybridMultilevel"/>
    <w:tmpl w:val="39B0A7CE"/>
    <w:lvl w:ilvl="0" w:tplc="3A8A16C0">
      <w:start w:val="1"/>
      <w:numFmt w:val="decimal"/>
      <w:lvlText w:val="%1."/>
      <w:lvlJc w:val="left"/>
      <w:pPr>
        <w:tabs>
          <w:tab w:val="num" w:pos="936"/>
        </w:tabs>
        <w:ind w:left="936" w:hanging="360"/>
      </w:pPr>
      <w:rPr>
        <w:rFonts w:hint="default"/>
      </w:rPr>
    </w:lvl>
    <w:lvl w:ilvl="1" w:tplc="04190019" w:tentative="1">
      <w:start w:val="1"/>
      <w:numFmt w:val="lowerLetter"/>
      <w:lvlText w:val="%2."/>
      <w:lvlJc w:val="left"/>
      <w:pPr>
        <w:tabs>
          <w:tab w:val="num" w:pos="1656"/>
        </w:tabs>
        <w:ind w:left="165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abstractNum w:abstractNumId="3">
    <w:nsid w:val="3E482021"/>
    <w:multiLevelType w:val="hybridMultilevel"/>
    <w:tmpl w:val="187A86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A12B9D"/>
    <w:multiLevelType w:val="hybridMultilevel"/>
    <w:tmpl w:val="0DCE1DA8"/>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44D9776F"/>
    <w:multiLevelType w:val="hybridMultilevel"/>
    <w:tmpl w:val="1B2CF1E2"/>
    <w:lvl w:ilvl="0" w:tplc="49521B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917DF6"/>
    <w:multiLevelType w:val="hybridMultilevel"/>
    <w:tmpl w:val="8084F12C"/>
    <w:lvl w:ilvl="0" w:tplc="A2A88302">
      <w:start w:val="1"/>
      <w:numFmt w:val="decimal"/>
      <w:lvlText w:val="%1."/>
      <w:lvlJc w:val="left"/>
      <w:pPr>
        <w:tabs>
          <w:tab w:val="num" w:pos="936"/>
        </w:tabs>
        <w:ind w:left="936" w:hanging="360"/>
      </w:pPr>
      <w:rPr>
        <w:rFonts w:hint="default"/>
      </w:rPr>
    </w:lvl>
    <w:lvl w:ilvl="1" w:tplc="04190019" w:tentative="1">
      <w:start w:val="1"/>
      <w:numFmt w:val="lowerLetter"/>
      <w:lvlText w:val="%2."/>
      <w:lvlJc w:val="left"/>
      <w:pPr>
        <w:tabs>
          <w:tab w:val="num" w:pos="1656"/>
        </w:tabs>
        <w:ind w:left="165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abstractNum w:abstractNumId="8">
    <w:nsid w:val="58545AD8"/>
    <w:multiLevelType w:val="hybridMultilevel"/>
    <w:tmpl w:val="990A8BB0"/>
    <w:lvl w:ilvl="0" w:tplc="0409000F">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8C3ED8"/>
    <w:multiLevelType w:val="hybridMultilevel"/>
    <w:tmpl w:val="D994BE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7E1710"/>
    <w:multiLevelType w:val="singleLevel"/>
    <w:tmpl w:val="B030C604"/>
    <w:lvl w:ilvl="0">
      <w:start w:val="1"/>
      <w:numFmt w:val="bullet"/>
      <w:lvlText w:val=""/>
      <w:lvlJc w:val="left"/>
      <w:pPr>
        <w:tabs>
          <w:tab w:val="num" w:pos="360"/>
        </w:tabs>
        <w:ind w:left="360" w:hanging="360"/>
      </w:pPr>
      <w:rPr>
        <w:rFonts w:ascii="Symbol" w:hAnsi="Symbol" w:hint="default"/>
      </w:rPr>
    </w:lvl>
  </w:abstractNum>
  <w:abstractNum w:abstractNumId="11">
    <w:nsid w:val="79FA407C"/>
    <w:multiLevelType w:val="hybridMultilevel"/>
    <w:tmpl w:val="3D7E7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10"/>
  </w:num>
  <w:num w:numId="13">
    <w:abstractNumId w:val="5"/>
  </w:num>
  <w:num w:numId="14">
    <w:abstractNumId w:val="5"/>
  </w:num>
  <w:num w:numId="15">
    <w:abstractNumId w:val="5"/>
  </w:num>
  <w:num w:numId="16">
    <w:abstractNumId w:val="5"/>
  </w:num>
  <w:num w:numId="17">
    <w:abstractNumId w:val="10"/>
  </w:num>
  <w:num w:numId="18">
    <w:abstractNumId w:val="5"/>
  </w:num>
  <w:num w:numId="19">
    <w:abstractNumId w:val="5"/>
  </w:num>
  <w:num w:numId="20">
    <w:abstractNumId w:val="5"/>
  </w:num>
  <w:num w:numId="21">
    <w:abstractNumId w:val="5"/>
  </w:num>
  <w:num w:numId="22">
    <w:abstractNumId w:val="10"/>
  </w:num>
  <w:num w:numId="23">
    <w:abstractNumId w:val="5"/>
  </w:num>
  <w:num w:numId="24">
    <w:abstractNumId w:val="5"/>
  </w:num>
  <w:num w:numId="25">
    <w:abstractNumId w:val="5"/>
  </w:num>
  <w:num w:numId="26">
    <w:abstractNumId w:val="5"/>
  </w:num>
  <w:num w:numId="27">
    <w:abstractNumId w:val="10"/>
  </w:num>
  <w:num w:numId="28">
    <w:abstractNumId w:val="10"/>
  </w:num>
  <w:num w:numId="29">
    <w:abstractNumId w:val="0"/>
  </w:num>
  <w:num w:numId="30">
    <w:abstractNumId w:val="11"/>
  </w:num>
  <w:num w:numId="31">
    <w:abstractNumId w:val="9"/>
  </w:num>
  <w:num w:numId="32">
    <w:abstractNumId w:val="3"/>
  </w:num>
  <w:num w:numId="33">
    <w:abstractNumId w:val="8"/>
  </w:num>
  <w:num w:numId="34">
    <w:abstractNumId w:val="4"/>
  </w:num>
  <w:num w:numId="35">
    <w:abstractNumId w:val="1"/>
  </w:num>
  <w:num w:numId="36">
    <w:abstractNumId w:val="6"/>
  </w:num>
  <w:num w:numId="37">
    <w:abstractNumId w:val="7"/>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576"/>
  <w:autoHyphenation/>
  <w:hyphenationZone w:val="14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7A9"/>
    <w:rsid w:val="001B6D62"/>
    <w:rsid w:val="007177A9"/>
    <w:rsid w:val="00A03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D3D036-5A53-4737-83CC-46967F66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enu">
    <w:name w:val="menu"/>
    <w:basedOn w:val="a"/>
    <w:pPr>
      <w:spacing w:before="100" w:beforeAutospacing="1" w:after="100" w:afterAutospacing="1"/>
      <w:jc w:val="center"/>
    </w:pPr>
    <w:rPr>
      <w:rFonts w:ascii="Arial" w:eastAsia="Arial Unicode MS" w:hAnsi="Arial" w:cs="Arial"/>
      <w:color w:val="053199"/>
      <w:sz w:val="20"/>
    </w:rPr>
  </w:style>
  <w:style w:type="paragraph" w:customStyle="1" w:styleId="plain">
    <w:name w:val="plain"/>
    <w:basedOn w:val="a"/>
    <w:pPr>
      <w:spacing w:before="100" w:beforeAutospacing="1" w:after="100" w:afterAutospacing="1"/>
    </w:pPr>
    <w:rPr>
      <w:rFonts w:ascii="Arial Unicode MS" w:eastAsia="Arial Unicode MS" w:hAnsi="Arial Unicode MS" w:cs="Arial Unicode MS"/>
      <w:szCs w:val="24"/>
    </w:rPr>
  </w:style>
  <w:style w:type="paragraph" w:customStyle="1" w:styleId="alphabet">
    <w:name w:val="alphabet"/>
    <w:basedOn w:val="a"/>
    <w:pPr>
      <w:spacing w:before="100" w:beforeAutospacing="1" w:after="100" w:afterAutospacing="1"/>
      <w:ind w:firstLine="480"/>
      <w:jc w:val="both"/>
    </w:pPr>
    <w:rPr>
      <w:rFonts w:ascii="Arial" w:eastAsia="Arial Unicode MS" w:hAnsi="Arial" w:cs="Arial"/>
      <w:color w:val="053199"/>
      <w:sz w:val="17"/>
      <w:szCs w:val="17"/>
    </w:rPr>
  </w:style>
  <w:style w:type="paragraph" w:customStyle="1" w:styleId="alphabet2">
    <w:name w:val="alphabet_2"/>
    <w:basedOn w:val="a"/>
    <w:pPr>
      <w:spacing w:before="100" w:beforeAutospacing="1" w:after="100" w:afterAutospacing="1"/>
      <w:ind w:firstLine="480"/>
      <w:jc w:val="both"/>
    </w:pPr>
    <w:rPr>
      <w:rFonts w:ascii="Arial" w:eastAsia="Arial Unicode MS" w:hAnsi="Arial" w:cs="Arial"/>
      <w:color w:val="B0C4DE"/>
      <w:sz w:val="18"/>
      <w:szCs w:val="18"/>
    </w:rPr>
  </w:style>
  <w:style w:type="paragraph" w:customStyle="1" w:styleId="stat">
    <w:name w:val="stat"/>
    <w:basedOn w:val="a"/>
    <w:pPr>
      <w:spacing w:before="100" w:beforeAutospacing="1" w:after="100" w:afterAutospacing="1"/>
      <w:jc w:val="both"/>
    </w:pPr>
    <w:rPr>
      <w:rFonts w:ascii="Arial Unicode MS" w:eastAsia="Arial Unicode MS" w:hAnsi="Arial Unicode MS" w:cs="Arial Unicode MS"/>
      <w:b/>
      <w:bCs/>
      <w:color w:val="053199"/>
      <w:szCs w:val="24"/>
    </w:rPr>
  </w:style>
  <w:style w:type="paragraph" w:customStyle="1" w:styleId="noindent">
    <w:name w:val="noindent"/>
    <w:basedOn w:val="a"/>
    <w:pPr>
      <w:spacing w:before="100" w:beforeAutospacing="1" w:after="100" w:afterAutospacing="1"/>
      <w:jc w:val="both"/>
    </w:pPr>
    <w:rPr>
      <w:rFonts w:ascii="Arial Unicode MS" w:eastAsia="Arial Unicode MS" w:hAnsi="Arial Unicode MS" w:cs="Arial Unicode MS"/>
      <w:szCs w:val="24"/>
    </w:rPr>
  </w:style>
  <w:style w:type="paragraph" w:customStyle="1" w:styleId="note">
    <w:name w:val="note"/>
    <w:basedOn w:val="a"/>
    <w:pPr>
      <w:spacing w:before="100" w:beforeAutospacing="1" w:after="100" w:afterAutospacing="1"/>
      <w:ind w:firstLine="480"/>
      <w:jc w:val="both"/>
    </w:pPr>
    <w:rPr>
      <w:rFonts w:ascii="Arial Unicode MS" w:eastAsia="Arial Unicode MS" w:hAnsi="Arial Unicode MS" w:cs="Arial Unicode MS"/>
      <w:i/>
      <w:iCs/>
      <w:sz w:val="19"/>
      <w:szCs w:val="19"/>
    </w:rPr>
  </w:style>
  <w:style w:type="character" w:customStyle="1" w:styleId="lang">
    <w:name w:val="lang"/>
    <w:basedOn w:val="a0"/>
    <w:rPr>
      <w:rFonts w:ascii="Arial" w:hAnsi="Arial" w:cs="Arial" w:hint="default"/>
      <w:color w:val="053199"/>
      <w:sz w:val="18"/>
      <w:szCs w:val="18"/>
    </w:rPr>
  </w:style>
  <w:style w:type="character" w:customStyle="1" w:styleId="nav1">
    <w:name w:val="nav1"/>
    <w:basedOn w:val="a0"/>
    <w:rPr>
      <w:rFonts w:ascii="Arial" w:hAnsi="Arial" w:cs="Arial" w:hint="default"/>
      <w:color w:val="053199"/>
      <w:sz w:val="18"/>
      <w:szCs w:val="18"/>
    </w:rPr>
  </w:style>
  <w:style w:type="character" w:customStyle="1" w:styleId="nav2">
    <w:name w:val="nav2"/>
    <w:basedOn w:val="a0"/>
    <w:rPr>
      <w:rFonts w:ascii="Arial" w:hAnsi="Arial" w:cs="Arial" w:hint="default"/>
      <w:color w:val="B0C4DE"/>
      <w:sz w:val="18"/>
      <w:szCs w:val="18"/>
    </w:rPr>
  </w:style>
  <w:style w:type="character" w:customStyle="1" w:styleId="FollowedHyperlink1">
    <w:name w:val="FollowedHyperlink1"/>
    <w:basedOn w:val="a0"/>
    <w:rPr>
      <w:strike w:val="0"/>
      <w:dstrike w:val="0"/>
      <w:color w:val="053199"/>
      <w:u w:val="none"/>
      <w:effect w:val="none"/>
    </w:rPr>
  </w:style>
  <w:style w:type="character" w:customStyle="1" w:styleId="FollowedHyperlink2">
    <w:name w:val="FollowedHyperlink2"/>
    <w:basedOn w:val="a0"/>
    <w:rPr>
      <w:strike w:val="0"/>
      <w:dstrike w:val="0"/>
      <w:color w:val="053199"/>
      <w:u w:val="none"/>
      <w:effect w:val="none"/>
    </w:rPr>
  </w:style>
  <w:style w:type="character" w:customStyle="1" w:styleId="FollowedHyperlink3">
    <w:name w:val="FollowedHyperlink3"/>
    <w:basedOn w:val="a0"/>
    <w:rPr>
      <w:strike w:val="0"/>
      <w:dstrike w:val="0"/>
      <w:color w:val="053199"/>
      <w:u w:val="none"/>
      <w:effect w:val="none"/>
    </w:rPr>
  </w:style>
  <w:style w:type="paragraph" w:styleId="HTML">
    <w:name w:val="HTML Address"/>
    <w:basedOn w:val="a"/>
    <w:semiHidden/>
    <w:rPr>
      <w:rFonts w:ascii="Arial Unicode MS" w:eastAsia="Arial Unicode MS" w:hAnsi="Arial Unicode MS" w:cs="Arial Unicode MS"/>
      <w:i/>
      <w:iCs/>
      <w:szCs w:val="24"/>
    </w:rPr>
  </w:style>
  <w:style w:type="paragraph" w:styleId="a3">
    <w:name w:val="Normal (Web)"/>
    <w:basedOn w:val="a"/>
    <w:semiHidden/>
    <w:pPr>
      <w:spacing w:before="100" w:beforeAutospacing="1" w:after="100" w:afterAutospacing="1"/>
      <w:ind w:firstLine="480"/>
      <w:jc w:val="both"/>
    </w:pPr>
    <w:rPr>
      <w:rFonts w:ascii="Arial Unicode MS" w:eastAsia="Arial Unicode MS" w:hAnsi="Arial Unicode MS" w:cs="Arial Unicode MS"/>
      <w:szCs w:val="24"/>
    </w:rPr>
  </w:style>
  <w:style w:type="character" w:styleId="a4">
    <w:name w:val="Hyperlink"/>
    <w:basedOn w:val="a0"/>
    <w:semiHidden/>
    <w:rPr>
      <w:color w:val="053199"/>
      <w:u w:val="single"/>
    </w:rPr>
  </w:style>
  <w:style w:type="paragraph" w:styleId="a5">
    <w:name w:val="footnote text"/>
    <w:basedOn w:val="a"/>
    <w:semiHidden/>
    <w:rPr>
      <w:sz w:val="20"/>
    </w:rPr>
  </w:style>
  <w:style w:type="character" w:styleId="a6">
    <w:name w:val="footnote reference"/>
    <w:basedOn w:val="a0"/>
    <w:semiHidden/>
    <w:rPr>
      <w:vertAlign w:val="superscript"/>
    </w:rPr>
  </w:style>
  <w:style w:type="paragraph" w:styleId="a7">
    <w:name w:val="footer"/>
    <w:basedOn w:val="a"/>
    <w:semiHidden/>
    <w:pPr>
      <w:tabs>
        <w:tab w:val="center" w:pos="4844"/>
        <w:tab w:val="right" w:pos="9689"/>
      </w:tabs>
    </w:pPr>
  </w:style>
  <w:style w:type="character" w:styleId="a8">
    <w:name w:val="page number"/>
    <w:basedOn w:val="a0"/>
    <w:semiHidden/>
  </w:style>
  <w:style w:type="paragraph" w:styleId="a9">
    <w:name w:val="Body Text"/>
    <w:basedOn w:val="a"/>
    <w:semiHidden/>
    <w:pPr>
      <w:ind w:right="72"/>
    </w:pPr>
    <w:rPr>
      <w:rFonts w:ascii="Arial" w:hAnsi="Arial" w:cs="Arial"/>
      <w:sz w:val="20"/>
      <w:lang w:val="ru-RU"/>
    </w:rPr>
  </w:style>
  <w:style w:type="paragraph" w:styleId="2">
    <w:name w:val="Body Text 2"/>
    <w:basedOn w:val="a"/>
    <w:semiHidden/>
    <w:pPr>
      <w:tabs>
        <w:tab w:val="left" w:pos="4032"/>
        <w:tab w:val="left" w:pos="4122"/>
      </w:tabs>
      <w:spacing w:before="100" w:beforeAutospacing="1" w:after="100" w:afterAutospacing="1"/>
      <w:ind w:right="162"/>
    </w:pPr>
    <w:rPr>
      <w:rFonts w:ascii="Arial" w:hAnsi="Arial" w:cs="Arial"/>
      <w:sz w:val="20"/>
      <w:lang w:val="ru-RU"/>
    </w:rPr>
  </w:style>
  <w:style w:type="paragraph" w:styleId="3">
    <w:name w:val="Body Text 3"/>
    <w:basedOn w:val="a"/>
    <w:semiHidden/>
    <w:rPr>
      <w:sz w:val="20"/>
      <w:lang w:val="ru-RU"/>
    </w:rPr>
  </w:style>
  <w:style w:type="character" w:styleId="aa">
    <w:name w:val="FollowedHyperlink"/>
    <w:basedOn w:val="a0"/>
    <w:semiHidden/>
    <w:rPr>
      <w:color w:val="800080"/>
      <w:u w:val="single"/>
    </w:rPr>
  </w:style>
  <w:style w:type="paragraph" w:styleId="ab">
    <w:name w:val="Title"/>
    <w:basedOn w:val="a"/>
    <w:qFormat/>
    <w:pPr>
      <w:spacing w:line="360" w:lineRule="auto"/>
      <w:jc w:val="center"/>
    </w:pPr>
    <w:rPr>
      <w:b/>
      <w:bCs/>
      <w:sz w:val="32"/>
      <w:szCs w:val="24"/>
      <w:lang w:val="ru-RU" w:eastAsia="ru-RU"/>
    </w:rPr>
  </w:style>
  <w:style w:type="paragraph" w:customStyle="1" w:styleId="1">
    <w:name w:val="конс1"/>
    <w:basedOn w:val="a"/>
    <w:pPr>
      <w:jc w:val="both"/>
    </w:pPr>
    <w:rPr>
      <w:b/>
      <w:bCs/>
      <w:sz w:val="28"/>
      <w:lang w:val="ru-RU"/>
    </w:rPr>
  </w:style>
  <w:style w:type="paragraph" w:styleId="20">
    <w:name w:val="toc 2"/>
    <w:basedOn w:val="a"/>
    <w:next w:val="a"/>
    <w:autoRedefine/>
    <w:semiHidden/>
    <w:pPr>
      <w:ind w:left="240"/>
    </w:pPr>
  </w:style>
  <w:style w:type="paragraph" w:styleId="10">
    <w:name w:val="toc 1"/>
    <w:basedOn w:val="a"/>
    <w:next w:val="a"/>
    <w:autoRedefine/>
    <w:semiHidden/>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customStyle="1" w:styleId="c1">
    <w:name w:val="c1"/>
    <w:basedOn w:val="a0"/>
    <w:rPr>
      <w:color w:val="0000FF"/>
    </w:rPr>
  </w:style>
  <w:style w:type="paragraph" w:customStyle="1" w:styleId="ConsNormal">
    <w:name w:val="ConsNormal"/>
    <w:pPr>
      <w:widowControl w:val="0"/>
      <w:ind w:firstLine="720"/>
    </w:pPr>
    <w:rPr>
      <w:rFonts w:ascii="Arial" w:hAnsi="Arial"/>
      <w:snapToGrid w:val="0"/>
    </w:rPr>
  </w:style>
  <w:style w:type="paragraph" w:customStyle="1" w:styleId="11">
    <w:name w:val="Название1"/>
    <w:basedOn w:val="a"/>
    <w:pPr>
      <w:spacing w:before="100" w:beforeAutospacing="1" w:after="100" w:afterAutospacing="1"/>
    </w:pPr>
    <w:rPr>
      <w:rFonts w:ascii="Arial" w:eastAsia="Arial Unicode MS" w:hAnsi="Arial" w:cs="Arial"/>
      <w:b/>
      <w:bCs/>
      <w:color w:val="6699CC"/>
      <w:sz w:val="34"/>
      <w:szCs w:val="34"/>
      <w:lang w:val="ru-RU" w:eastAsia="ru-RU"/>
    </w:rPr>
  </w:style>
  <w:style w:type="paragraph" w:customStyle="1" w:styleId="12">
    <w:name w:val="Подзаголовок1"/>
    <w:basedOn w:val="a"/>
    <w:pPr>
      <w:spacing w:before="100" w:beforeAutospacing="1" w:after="100" w:afterAutospacing="1"/>
    </w:pPr>
    <w:rPr>
      <w:rFonts w:ascii="Arial" w:eastAsia="Arial Unicode MS" w:hAnsi="Arial" w:cs="Arial"/>
      <w:b/>
      <w:bCs/>
      <w:color w:val="000000"/>
      <w:sz w:val="27"/>
      <w:szCs w:val="27"/>
      <w:lang w:val="ru-RU" w:eastAsia="ru-RU"/>
    </w:rPr>
  </w:style>
  <w:style w:type="paragraph" w:customStyle="1" w:styleId="doctitle">
    <w:name w:val="doctitle"/>
    <w:basedOn w:val="a"/>
    <w:pPr>
      <w:spacing w:before="100" w:beforeAutospacing="1" w:after="100" w:afterAutospacing="1"/>
    </w:pPr>
    <w:rPr>
      <w:rFonts w:ascii="Arial" w:eastAsia="Arial Unicode MS" w:hAnsi="Arial" w:cs="Arial"/>
      <w:b/>
      <w:bCs/>
      <w:color w:val="000000"/>
      <w:sz w:val="30"/>
      <w:szCs w:val="30"/>
      <w:lang w:val="ru-RU" w:eastAsia="ru-RU"/>
    </w:rPr>
  </w:style>
  <w:style w:type="paragraph" w:customStyle="1" w:styleId="docsubtitle">
    <w:name w:val="docsubtitle"/>
    <w:basedOn w:val="a"/>
    <w:pPr>
      <w:spacing w:before="100" w:beforeAutospacing="1" w:after="100" w:afterAutospacing="1"/>
    </w:pPr>
    <w:rPr>
      <w:rFonts w:ascii="Arial" w:eastAsia="Arial Unicode MS" w:hAnsi="Arial" w:cs="Arial"/>
      <w:b/>
      <w:bCs/>
      <w:color w:val="000000"/>
      <w:sz w:val="27"/>
      <w:szCs w:val="27"/>
      <w:lang w:val="ru-RU" w:eastAsia="ru-RU"/>
    </w:rPr>
  </w:style>
  <w:style w:type="paragraph" w:customStyle="1" w:styleId="docdate">
    <w:name w:val="docdate"/>
    <w:basedOn w:val="a"/>
    <w:pPr>
      <w:spacing w:before="100" w:beforeAutospacing="1" w:after="100" w:afterAutospacing="1"/>
    </w:pPr>
    <w:rPr>
      <w:rFonts w:ascii="Arial" w:eastAsia="Arial Unicode MS" w:hAnsi="Arial" w:cs="Arial"/>
      <w:b/>
      <w:bCs/>
      <w:color w:val="000000"/>
      <w:sz w:val="27"/>
      <w:szCs w:val="27"/>
      <w:lang w:val="ru-RU" w:eastAsia="ru-RU"/>
    </w:rPr>
  </w:style>
  <w:style w:type="paragraph" w:customStyle="1" w:styleId="marker">
    <w:name w:val="marker"/>
    <w:basedOn w:val="a"/>
    <w:pPr>
      <w:spacing w:before="100" w:beforeAutospacing="1" w:after="100" w:afterAutospacing="1"/>
    </w:pPr>
    <w:rPr>
      <w:rFonts w:ascii="Arial" w:eastAsia="Arial Unicode MS" w:hAnsi="Arial" w:cs="Arial"/>
      <w:color w:val="000000"/>
      <w:sz w:val="27"/>
      <w:szCs w:val="27"/>
      <w:lang w:val="ru-RU" w:eastAsia="ru-RU"/>
    </w:rPr>
  </w:style>
  <w:style w:type="paragraph" w:customStyle="1" w:styleId="13">
    <w:name w:val="Список1"/>
    <w:basedOn w:val="a"/>
    <w:pPr>
      <w:spacing w:before="100" w:beforeAutospacing="1" w:after="100" w:afterAutospacing="1"/>
    </w:pPr>
    <w:rPr>
      <w:rFonts w:eastAsia="Arial Unicode MS"/>
      <w:color w:val="000000"/>
      <w:sz w:val="27"/>
      <w:szCs w:val="27"/>
      <w:lang w:val="ru-RU" w:eastAsia="ru-RU"/>
    </w:rPr>
  </w:style>
  <w:style w:type="paragraph" w:customStyle="1" w:styleId="annotation">
    <w:name w:val="annotation"/>
    <w:basedOn w:val="a"/>
    <w:pPr>
      <w:spacing w:before="100" w:beforeAutospacing="1" w:after="100" w:afterAutospacing="1"/>
    </w:pPr>
    <w:rPr>
      <w:rFonts w:eastAsia="Arial Unicode MS"/>
      <w:color w:val="000000"/>
      <w:sz w:val="27"/>
      <w:szCs w:val="27"/>
      <w:lang w:val="ru-RU" w:eastAsia="ru-RU"/>
    </w:rPr>
  </w:style>
  <w:style w:type="paragraph" w:customStyle="1" w:styleId="more">
    <w:name w:val="more"/>
    <w:basedOn w:val="a"/>
    <w:pPr>
      <w:spacing w:before="100" w:beforeAutospacing="1" w:after="100" w:afterAutospacing="1"/>
    </w:pPr>
    <w:rPr>
      <w:rFonts w:ascii="Arial" w:eastAsia="Arial Unicode MS" w:hAnsi="Arial" w:cs="Arial"/>
      <w:color w:val="CC0000"/>
      <w:sz w:val="22"/>
      <w:szCs w:val="22"/>
      <w:lang w:val="ru-RU" w:eastAsia="ru-RU"/>
    </w:rPr>
  </w:style>
  <w:style w:type="paragraph" w:customStyle="1" w:styleId="14">
    <w:name w:val="Нижний колонтитул1"/>
    <w:basedOn w:val="a"/>
    <w:pPr>
      <w:spacing w:before="100" w:beforeAutospacing="1" w:after="100" w:afterAutospacing="1"/>
    </w:pPr>
    <w:rPr>
      <w:rFonts w:ascii="Arial" w:eastAsia="Arial Unicode MS" w:hAnsi="Arial" w:cs="Arial"/>
      <w:color w:val="000000"/>
      <w:sz w:val="22"/>
      <w:szCs w:val="22"/>
      <w:lang w:val="ru-RU" w:eastAsia="ru-RU"/>
    </w:rPr>
  </w:style>
  <w:style w:type="paragraph" w:styleId="ac">
    <w:name w:val="Body Text Indent"/>
    <w:basedOn w:val="a"/>
    <w:semiHidden/>
    <w:pPr>
      <w:spacing w:line="360" w:lineRule="auto"/>
      <w:ind w:firstLine="576"/>
      <w:jc w:val="both"/>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4248</Words>
  <Characters>24214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lpstr>
    </vt:vector>
  </TitlesOfParts>
  <Company>World Bank Group</Company>
  <LinksUpToDate>false</LinksUpToDate>
  <CharactersWithSpaces>28406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Ludmila Nedueva</dc:creator>
  <cp:keywords/>
  <dc:description/>
  <cp:lastModifiedBy>admin</cp:lastModifiedBy>
  <cp:revision>2</cp:revision>
  <cp:lastPrinted>2003-04-02T11:25:00Z</cp:lastPrinted>
  <dcterms:created xsi:type="dcterms:W3CDTF">2014-02-07T09:41:00Z</dcterms:created>
  <dcterms:modified xsi:type="dcterms:W3CDTF">2014-02-07T09:41:00Z</dcterms:modified>
</cp:coreProperties>
</file>