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F9" w:rsidRPr="000736DB" w:rsidRDefault="00AC27F9" w:rsidP="000736DB">
      <w:pPr>
        <w:widowControl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C27F9" w:rsidRPr="000736DB" w:rsidRDefault="00AC27F9" w:rsidP="000736DB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C27F9" w:rsidRPr="000736DB" w:rsidRDefault="00AC27F9" w:rsidP="000736DB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КОСМИЗМ ИВАНА ВЫШНЕГРАДСКОГО</w:t>
      </w:r>
    </w:p>
    <w:p w:rsidR="00AC27F9" w:rsidRPr="000736DB" w:rsidRDefault="00AC27F9" w:rsidP="000736DB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right"/>
        <w:rPr>
          <w:rFonts w:ascii="Times New Roman" w:hAnsi="Times New Roman"/>
          <w:bCs/>
          <w:iCs/>
          <w:sz w:val="28"/>
          <w:szCs w:val="28"/>
        </w:rPr>
      </w:pPr>
      <w:r w:rsidRPr="000736DB">
        <w:rPr>
          <w:rFonts w:ascii="Times New Roman" w:hAnsi="Times New Roman"/>
          <w:bCs/>
          <w:iCs/>
          <w:sz w:val="28"/>
          <w:szCs w:val="28"/>
        </w:rPr>
        <w:t>Н.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736DB">
        <w:rPr>
          <w:rFonts w:ascii="Times New Roman" w:hAnsi="Times New Roman"/>
          <w:bCs/>
          <w:iCs/>
          <w:sz w:val="28"/>
          <w:szCs w:val="28"/>
        </w:rPr>
        <w:t>Катонова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736DB" w:rsidRPr="000736DB" w:rsidRDefault="000736DB" w:rsidP="000736DB">
      <w:pPr>
        <w:widowControl w:val="0"/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0736DB">
        <w:rPr>
          <w:rFonts w:ascii="Times New Roman" w:hAnsi="Times New Roman"/>
          <w:bCs/>
          <w:iCs/>
          <w:sz w:val="28"/>
          <w:szCs w:val="28"/>
        </w:rPr>
        <w:t>С-Петербург</w:t>
      </w:r>
    </w:p>
    <w:p w:rsidR="000736DB" w:rsidRDefault="000736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C27F9" w:rsidRP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И.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Вышнеградский принадлежал к замечательной, но еще недостаточно изученной ветви отечественной музыки начала ХХ столетия, к так называемым “русским авангардистам” зарубежья, к числу которых также относятся Н.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Черепнин, А.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Лурье, Н.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Обухов, Е.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Голышев. Именно этой, “зарубежной” ветвью, русская музыка оказалась интегрированной в европейский музыкальный многоязыкий мир, охваченный поиском новых, порой радикальных композиторских идей.</w:t>
      </w:r>
    </w:p>
    <w:p w:rsidR="00AC27F9" w:rsidRP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Сейчас уже очевидно, что феномен русского авангарда 1910-20-х годов теснейшим образом связан со звуковыми открытиями Скрябина. Его стремление к расширенным параметрам звучности, к новым средствам организации музыкальной материи, идеи расщепления тонов,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оказались ближе эре тотальной организации звуковой материи, нежели модернизм Прокофьева или стилевой универсализм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Стравинского. Сближение это наблюдается на уровне миро- и звукосозерцания, и на уровне моделируемой музыкальной лексики.</w:t>
      </w:r>
    </w:p>
    <w:p w:rsidR="00AC27F9" w:rsidRP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Являясь “музыкальным внуком” Н.А.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Римского-Корсакова</w:t>
      </w:r>
      <w:r w:rsidRPr="000736DB"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Pr="000736DB">
        <w:rPr>
          <w:rFonts w:ascii="Times New Roman" w:hAnsi="Times New Roman"/>
          <w:sz w:val="28"/>
          <w:szCs w:val="28"/>
        </w:rPr>
        <w:t>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Вышнеградский</w:t>
      </w:r>
      <w:r w:rsidR="000736DB">
        <w:rPr>
          <w:rFonts w:ascii="Times New Roman" w:hAnsi="Times New Roman"/>
          <w:sz w:val="28"/>
          <w:szCs w:val="28"/>
        </w:rPr>
        <w:t xml:space="preserve">, </w:t>
      </w:r>
      <w:r w:rsidRPr="000736DB">
        <w:rPr>
          <w:rFonts w:ascii="Times New Roman" w:hAnsi="Times New Roman"/>
          <w:sz w:val="28"/>
          <w:szCs w:val="28"/>
        </w:rPr>
        <w:t>тем не менее</w:t>
      </w:r>
      <w:r w:rsidR="000736DB">
        <w:rPr>
          <w:rFonts w:ascii="Times New Roman" w:hAnsi="Times New Roman"/>
          <w:sz w:val="28"/>
          <w:szCs w:val="28"/>
        </w:rPr>
        <w:t>,</w:t>
      </w:r>
      <w:r w:rsidRPr="000736DB">
        <w:rPr>
          <w:rFonts w:ascii="Times New Roman" w:hAnsi="Times New Roman"/>
          <w:sz w:val="28"/>
          <w:szCs w:val="28"/>
        </w:rPr>
        <w:t xml:space="preserve"> довольно рано оказался под влиянием Скрябина, и, прежде всего, его религиозно-философских идей,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в том числе идеи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космизма, отличающей одно из основных направлений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русской мысли начала века.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На протяжении многих лет композитор переписывался с Н.А.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Бердяевым, обсуждая с ним проблемы целостности мира и гармонии. Вот фрагмент одного из писем, в котором, на наш взгляд, отражен основной ракурс мировоззрения композитора: «Русские в своем творческом порыве ищут совершенной жизни, а не только совершенных произведений» - говорите Вы. И как Вы правы, и как глубоко я это чувствую в себе… Выход, по-моему, в универсальном понимании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красоты, как выходящей из пределов чисто эстетической сферы – вернее, в актуальном воплощении этого понимания в произведениях искусства. Ницше в “Заратустре” говорит: “Бога скрывает Красота его!” Вот понимание, под которым я подписываюсь.”</w:t>
      </w:r>
      <w:r w:rsidRPr="000736DB">
        <w:rPr>
          <w:rFonts w:ascii="Times New Roman" w:hAnsi="Times New Roman"/>
          <w:sz w:val="28"/>
          <w:szCs w:val="28"/>
          <w:vertAlign w:val="superscript"/>
        </w:rPr>
        <w:footnoteReference w:id="2"/>
      </w:r>
    </w:p>
    <w:p w:rsidR="00AC27F9" w:rsidRP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Композитор выбрал свой путь духовного совершенствования посредством сочинения музыки после некоего мистического опыта, пережитого им в 1916-1917 годах. Полученное откровение Вышнеградский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воплотил в своем важнейшем, по его определению,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сочинении “День Бытия” для симфонического оркестра с чтецом,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произносящим текст о зарождении нового Космического Сознания. Это произведение (кстати, дважды переработанное, и впервые исполненное лишь в 1976 году)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явилось последним опусом композитора, написанным в традиционном хроматическом строе. Все последующие (с 1922 года), сочинения, создавались только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в ультрахроматическом.</w:t>
      </w:r>
    </w:p>
    <w:p w:rsidR="00AC27F9" w:rsidRP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Художник, создающий собственную языковую систему, неизбежно сверяет свой путь с определенными метафизическими ориентирами, т.к. толчком к созданию индивидуальной языковой реальности всегда является идея высшего порядка, лежащая за пределами конкретного вида искусства. И тогда опыт существования и взаимодействия такой системы с параллельно существующими, распространяется в его сознании на всю Вселенную. Новая звуковая реальность, в которой гармонический язык становится средством выражения философских взглядов, средством воплощения идея абсолютного добра и гармонии всего сущего, обрекает и исследователей на внемузыкальные ориентиры.</w:t>
      </w:r>
    </w:p>
    <w:p w:rsid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Формат настоящей работы не предполагает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анализ творчества И.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Вышнеградского как целостного явления - а это именно целостное явление, пример стилистического “монотеизма”, последовательного утверждения ультрахроматизма как новой звуковой реальности,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нового музыкального универсума. О цельности творчества композитора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 xml:space="preserve">свидетельствует и многомерность, системность взглядов композитора, изложенных в его фундаментальных трактатах, над которыми он работал в течение всей жизни. </w:t>
      </w:r>
    </w:p>
    <w:p w:rsidR="00AC27F9" w:rsidRP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Вышнеградский последовательно разрабатывал и коренную реформу существующей музыкальной системы, используя ультрахроматическую шкалу как основу новой лексики. И здесь его поиски оказались параллельны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мощному движению обновления средств выразительности в музыке ХХ века.</w:t>
      </w:r>
    </w:p>
    <w:p w:rsidR="00AC27F9" w:rsidRP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В начале века четвертитоновая система звучания как один из новых параметров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музыкального языка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разрабатывалась многими композиторами. Четвертитоновую шкалу использовали в своих сочинениях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и Ч.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Айвз, и А.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Лурье, и Н.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Обухов. Но если для Айвза, например,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“</w:t>
      </w:r>
      <w:r w:rsidRPr="000736DB">
        <w:rPr>
          <w:rFonts w:ascii="Times New Roman" w:hAnsi="Times New Roman"/>
          <w:iCs/>
          <w:sz w:val="28"/>
          <w:szCs w:val="28"/>
        </w:rPr>
        <w:t>Три четвертитоновые пьесы</w:t>
      </w:r>
      <w:r w:rsidRPr="000736DB">
        <w:rPr>
          <w:rFonts w:ascii="Times New Roman" w:hAnsi="Times New Roman"/>
          <w:sz w:val="28"/>
          <w:szCs w:val="28"/>
        </w:rPr>
        <w:t>” для двух фортепиано (1923) были лишь этапом разработки микроинтервальной системы в собственном творчестве, то Вышнеградский задался целью создания соответствующего инструментария,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пригодного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для реализации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идей, освобожденных от оков темперации.</w:t>
      </w:r>
    </w:p>
    <w:p w:rsid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Рассматривая стилистическое многообразие композиционных форм для двух и более фортепиано в первые десятилетия ХХ века, мы уже отмечали тенденцию индивидуализации облика мультиклавирного ансамбля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в творчестве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ведущих композиторов.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Сравнивая предпосылки обращения композиторов к данному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инструментальному составу, мы видим причины, связанные, с поиском новых тембровых сочетаний или с утверждением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индивидуальной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трактовки музыкальных жанров. В наследии Ивана Вышнеградского который посвятил всю свою жизнь поиску нового звукового пространства, образуемого “</w:t>
      </w:r>
      <w:r w:rsidRPr="000736DB">
        <w:rPr>
          <w:rFonts w:ascii="Times New Roman" w:hAnsi="Times New Roman"/>
          <w:sz w:val="28"/>
          <w:szCs w:val="28"/>
          <w:lang w:val="en-US"/>
        </w:rPr>
        <w:t>c</w:t>
      </w:r>
      <w:r w:rsidRPr="000736DB">
        <w:rPr>
          <w:rFonts w:ascii="Times New Roman" w:hAnsi="Times New Roman"/>
          <w:sz w:val="28"/>
          <w:szCs w:val="28"/>
        </w:rPr>
        <w:t>двоенным”</w:t>
      </w:r>
      <w:r w:rsidRPr="000736DB">
        <w:rPr>
          <w:rFonts w:ascii="Times New Roman" w:hAnsi="Times New Roman"/>
          <w:sz w:val="28"/>
          <w:szCs w:val="28"/>
          <w:vertAlign w:val="superscript"/>
        </w:rPr>
        <w:footnoteReference w:id="3"/>
      </w:r>
      <w:r w:rsidRPr="000736DB">
        <w:rPr>
          <w:rFonts w:ascii="Times New Roman" w:hAnsi="Times New Roman"/>
          <w:sz w:val="28"/>
          <w:szCs w:val="28"/>
        </w:rPr>
        <w:t xml:space="preserve"> фортепиано, представлена самая впечатляющая концепция жанра мультиклавирного ансамбля. Подчеркнем, что в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наследии композитора, насчитывающим около 60-ти опусов,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90% занимают произведения, написанные для двух, трех или четырех фортепиано.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Первоначально сам проект создания нового четвертитонового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инструмента занимал композитора едва ли не больше, чем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сам процесс композиции. Как и у Скрябина, его поиски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были связаны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 xml:space="preserve">с расширением звукового состава аккордовых структур за счет включения новых звуков обертонового ряда. Л.Сабанеев назвал это “заключенной в самой природе звучания линию развития гармонического созерцания”, и, ссылаясь на Скрябина, писал, что он “…в последних своих сочинениях хотел прибегнуть к обозначению понижений и повышений (минимальных) посредством особых знаков”. </w:t>
      </w:r>
    </w:p>
    <w:p w:rsidR="00AC27F9" w:rsidRP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Суммируя высказывания композитора, Сабанеев определил, что взгляд Скрябина был направлен в “ультрахроматическую бездну”. Стремясь выразить в своей музыке совершенство космической гармонии, Вышнеградский “шагнул” в эту “бездну”, избрав ультрахроматическую шкалу звучности полем для утверждения собственного музыкального языка и провозгласив всезвучие единственным законом, по которому должна развиваться музыкальная культура в дальнейшем. Идея максимально полного, расширенного звучания завладела им настолько, что в 1923-24 году он работает над созданием нового, трехмануального фортепиано, в котором бы совмещался традиционный строй и четвертитоновый.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В дневнике Вышнеградского за 1924 год читаем: “Получаю новости из Германии о том,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что фирма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  <w:lang w:val="en-US"/>
        </w:rPr>
        <w:t>Forster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изготовила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¼ - тоновое фортепиано, и что Хаба</w:t>
      </w:r>
      <w:r w:rsidRPr="000736DB">
        <w:rPr>
          <w:rFonts w:ascii="Times New Roman" w:hAnsi="Times New Roman"/>
          <w:sz w:val="28"/>
          <w:szCs w:val="28"/>
          <w:vertAlign w:val="superscript"/>
        </w:rPr>
        <w:footnoteReference w:id="4"/>
      </w:r>
      <w:r w:rsidRPr="000736DB">
        <w:rPr>
          <w:rFonts w:ascii="Times New Roman" w:hAnsi="Times New Roman"/>
          <w:sz w:val="28"/>
          <w:szCs w:val="28"/>
        </w:rPr>
        <w:t>… использовал мой проект трехмануальной клавиатуры (курсив мой-Н.К).”</w:t>
      </w:r>
      <w:r w:rsidRPr="000736DB">
        <w:rPr>
          <w:rFonts w:ascii="Times New Roman" w:hAnsi="Times New Roman"/>
          <w:sz w:val="28"/>
          <w:szCs w:val="28"/>
          <w:vertAlign w:val="superscript"/>
        </w:rPr>
        <w:footnoteReference w:id="5"/>
      </w:r>
    </w:p>
    <w:p w:rsidR="00AC27F9" w:rsidRP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 xml:space="preserve">Мы так подробно останавливаемся на деталях, связанных с инструментарием потому, что Вышнеградский оказался единственным, кто остался верен раз и навсегда избранной шкале ультрахроматической звучности и добился очевидного художественного результата. Именно у него идея двухмануального фортепиано трансформировалась в </w:t>
      </w:r>
      <w:r w:rsidRPr="000736DB">
        <w:rPr>
          <w:rFonts w:ascii="Times New Roman" w:hAnsi="Times New Roman"/>
          <w:b/>
          <w:bCs/>
          <w:sz w:val="28"/>
          <w:szCs w:val="28"/>
        </w:rPr>
        <w:t>идею сочетания двух фортепиано – хроматического и ультрахроматического - как основного модуса выражения избранного им музыкального языка</w:t>
      </w:r>
      <w:r w:rsidRPr="000736DB">
        <w:rPr>
          <w:rFonts w:ascii="Times New Roman" w:hAnsi="Times New Roman"/>
          <w:sz w:val="28"/>
          <w:szCs w:val="28"/>
        </w:rPr>
        <w:t>. С того момента, когда композитор осознал оптимальность подобного состава для достижения своих художественных целей,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он приступает к созданию репертуара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для ансамбля двух (в ряде сочинений - более) фортепиано, т.е. создает свою индивидуальную версию рассматриваемого нами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жанра.</w:t>
      </w:r>
    </w:p>
    <w:p w:rsid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Интересно, что являясь автором работ “</w:t>
      </w:r>
      <w:r w:rsidRPr="000736DB">
        <w:rPr>
          <w:rFonts w:ascii="Times New Roman" w:hAnsi="Times New Roman"/>
          <w:sz w:val="28"/>
          <w:szCs w:val="28"/>
          <w:lang w:val="en-US"/>
        </w:rPr>
        <w:t>Manuel</w:t>
      </w:r>
      <w:r w:rsidRP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  <w:lang w:val="en-US"/>
        </w:rPr>
        <w:t>d</w:t>
      </w:r>
      <w:r w:rsidRPr="000736DB">
        <w:rPr>
          <w:rFonts w:ascii="Times New Roman" w:hAnsi="Times New Roman"/>
          <w:sz w:val="28"/>
          <w:szCs w:val="28"/>
        </w:rPr>
        <w:t>’</w:t>
      </w:r>
      <w:r w:rsidRPr="000736DB">
        <w:rPr>
          <w:rFonts w:ascii="Times New Roman" w:hAnsi="Times New Roman"/>
          <w:sz w:val="28"/>
          <w:szCs w:val="28"/>
          <w:lang w:val="en-US"/>
        </w:rPr>
        <w:t>harm</w:t>
      </w:r>
      <w:r w:rsidRP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  <w:lang w:val="en-US"/>
        </w:rPr>
        <w:t>onie</w:t>
      </w:r>
      <w:r w:rsidRP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  <w:lang w:val="en-US"/>
        </w:rPr>
        <w:t>a</w:t>
      </w:r>
      <w:r w:rsidRP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  <w:lang w:val="en-US"/>
        </w:rPr>
        <w:t>quarts</w:t>
      </w:r>
      <w:r w:rsidRP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  <w:lang w:val="en-US"/>
        </w:rPr>
        <w:t>de</w:t>
      </w:r>
      <w:r w:rsidRP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  <w:lang w:val="en-US"/>
        </w:rPr>
        <w:t>ton</w:t>
      </w:r>
      <w:r w:rsidRPr="000736DB">
        <w:rPr>
          <w:rFonts w:ascii="Times New Roman" w:hAnsi="Times New Roman"/>
          <w:sz w:val="28"/>
          <w:szCs w:val="28"/>
        </w:rPr>
        <w:t>” и “</w:t>
      </w:r>
      <w:r w:rsidRPr="000736DB">
        <w:rPr>
          <w:rFonts w:ascii="Times New Roman" w:hAnsi="Times New Roman"/>
          <w:sz w:val="28"/>
          <w:szCs w:val="28"/>
          <w:lang w:val="en-US"/>
        </w:rPr>
        <w:t>La</w:t>
      </w:r>
      <w:r w:rsidRP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  <w:lang w:val="en-US"/>
        </w:rPr>
        <w:t>loi</w:t>
      </w:r>
      <w:r w:rsidRP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  <w:lang w:val="en-US"/>
        </w:rPr>
        <w:t>de</w:t>
      </w:r>
      <w:r w:rsidRP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  <w:lang w:val="en-US"/>
        </w:rPr>
        <w:t>la</w:t>
      </w:r>
      <w:r w:rsidRP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  <w:lang w:val="en-US"/>
        </w:rPr>
        <w:t>pansonorite</w:t>
      </w:r>
      <w:r w:rsidRPr="000736DB">
        <w:rPr>
          <w:rFonts w:ascii="Times New Roman" w:hAnsi="Times New Roman"/>
          <w:sz w:val="28"/>
          <w:szCs w:val="28"/>
        </w:rPr>
        <w:t>” (“Закон всезвучия”)</w:t>
      </w:r>
      <w:r w:rsidRPr="000736DB">
        <w:rPr>
          <w:rFonts w:ascii="Times New Roman" w:hAnsi="Times New Roman"/>
          <w:sz w:val="28"/>
          <w:szCs w:val="28"/>
          <w:vertAlign w:val="superscript"/>
        </w:rPr>
        <w:footnoteReference w:id="6"/>
      </w:r>
      <w:r w:rsidRPr="000736DB">
        <w:rPr>
          <w:rFonts w:ascii="Times New Roman" w:hAnsi="Times New Roman"/>
          <w:sz w:val="28"/>
          <w:szCs w:val="28"/>
        </w:rPr>
        <w:t>, в которых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он представляет объяснение своих поисков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в виде детально аргументированной теоретической системы, а также ряда статей, посвященных ультрахроматизму и новым возможностям,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которые, по его мнению, открываются перед музыкальным искусством, Вышнеградский нигде не обосновывает своей приверженности фортепиано,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а точнее,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b/>
          <w:bCs/>
          <w:sz w:val="28"/>
          <w:szCs w:val="28"/>
        </w:rPr>
        <w:t>сочетанию</w:t>
      </w:r>
      <w:r w:rsidRPr="000736DB">
        <w:rPr>
          <w:rFonts w:ascii="Times New Roman" w:hAnsi="Times New Roman"/>
          <w:sz w:val="28"/>
          <w:szCs w:val="28"/>
        </w:rPr>
        <w:t xml:space="preserve"> четного количества четвертитоновых инструментов с одним или двумя темперированными.</w:t>
      </w:r>
      <w:r w:rsidR="000736DB">
        <w:rPr>
          <w:rFonts w:ascii="Times New Roman" w:hAnsi="Times New Roman"/>
          <w:sz w:val="28"/>
          <w:szCs w:val="28"/>
        </w:rPr>
        <w:t xml:space="preserve"> </w:t>
      </w:r>
    </w:p>
    <w:p w:rsidR="00AC27F9" w:rsidRP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В своих предельно лаконичных дневниковых записях, композитор также не останавливается на композиционных принципах строения собственных сочинений, на интонационных особенностях совмещения различных интервальных структур музыкального материала; его больше всего занимает и д е я произведения, над которым он в данный момент работает, и возможности ее реального воплощения. Анализируя его сочинения,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относящиеся к различным периодам,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мы можем констатировать, что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bCs/>
          <w:iCs/>
          <w:sz w:val="28"/>
          <w:szCs w:val="28"/>
        </w:rPr>
        <w:t>мультиклавирный ансамбль, где темперированный и ультрахроматический строй образуют</w:t>
      </w:r>
      <w:r w:rsidR="000736D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736DB">
        <w:rPr>
          <w:rFonts w:ascii="Times New Roman" w:hAnsi="Times New Roman"/>
          <w:bCs/>
          <w:iCs/>
          <w:sz w:val="28"/>
          <w:szCs w:val="28"/>
        </w:rPr>
        <w:t>как бы две звуковые реальности, совмещают две культуры –</w:t>
      </w:r>
      <w:r w:rsidRPr="000736DB">
        <w:rPr>
          <w:rFonts w:ascii="Times New Roman" w:hAnsi="Times New Roman"/>
          <w:b/>
          <w:sz w:val="28"/>
          <w:szCs w:val="28"/>
        </w:rPr>
        <w:t xml:space="preserve"> </w:t>
      </w:r>
      <w:r w:rsidRPr="000736DB">
        <w:rPr>
          <w:rFonts w:ascii="Times New Roman" w:hAnsi="Times New Roman"/>
          <w:bCs/>
          <w:iCs/>
          <w:sz w:val="28"/>
          <w:szCs w:val="28"/>
        </w:rPr>
        <w:t>традиционную и новую,</w:t>
      </w:r>
      <w:r w:rsidR="000736D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736DB">
        <w:rPr>
          <w:rFonts w:ascii="Times New Roman" w:hAnsi="Times New Roman"/>
          <w:bCs/>
          <w:iCs/>
          <w:sz w:val="28"/>
          <w:szCs w:val="28"/>
        </w:rPr>
        <w:t>с раздвинутыми границами привычных понятий</w:t>
      </w:r>
      <w:r w:rsidR="000736D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736DB">
        <w:rPr>
          <w:rFonts w:ascii="Times New Roman" w:hAnsi="Times New Roman"/>
          <w:bCs/>
          <w:i/>
          <w:iCs/>
          <w:sz w:val="28"/>
          <w:szCs w:val="28"/>
        </w:rPr>
        <w:t>тембра,</w:t>
      </w:r>
      <w:r w:rsidRPr="000736DB">
        <w:rPr>
          <w:rFonts w:ascii="Times New Roman" w:hAnsi="Times New Roman"/>
          <w:bCs/>
          <w:iCs/>
          <w:sz w:val="28"/>
          <w:szCs w:val="28"/>
        </w:rPr>
        <w:t xml:space="preserve"> становится для Вышнеградского</w:t>
      </w:r>
      <w:r w:rsidR="000736D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736DB">
        <w:rPr>
          <w:rFonts w:ascii="Times New Roman" w:hAnsi="Times New Roman"/>
          <w:bCs/>
          <w:iCs/>
          <w:sz w:val="28"/>
          <w:szCs w:val="28"/>
        </w:rPr>
        <w:t>неким универсальным инструментом – символом,</w:t>
      </w:r>
      <w:r w:rsidR="000736D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736DB">
        <w:rPr>
          <w:rFonts w:ascii="Times New Roman" w:hAnsi="Times New Roman"/>
          <w:bCs/>
          <w:iCs/>
          <w:sz w:val="28"/>
          <w:szCs w:val="28"/>
        </w:rPr>
        <w:t>воплощением новой звуковой эстетики, отражающей его непрерывное стремление к абсолютной космической гармонии, лежащей в основе художественных исканий композитора.</w:t>
      </w:r>
    </w:p>
    <w:p w:rsidR="00AC27F9" w:rsidRP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Духовный поиск русских “космистов” всегда простирался за пределами православной традиции, обращаясь порой к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языческим культурам, к ориентализму. Вспомним, что по замыслу Скрябина, его “Мистерия” должна была исполняться в Индии, у истоков цивилизации. “Индуизм” русских философов-мистиков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происходил, из трудов Ницше, а в случае Скрябина -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из “Тайной доктрины” Е.Блаватской, чьи теософские размышления были для него импульсом творчества.</w:t>
      </w:r>
    </w:p>
    <w:p w:rsidR="00AC27F9" w:rsidRP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В этой связи примечательны слова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Павла Флоренского, который вслед за Скрябиным,</w:t>
      </w:r>
      <w:r w:rsidR="00A11952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искал новые “слова” (строи и звукоряды), аппелируя, в частности, к опыту музыки восточных народов, с развитой в ней микроинтерваликой: “Слово, самое, по-видимому простое, есть…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сложный и богатый мир звуков; однако этот мир был бы оценен нами как неизмеримо более полный и многообразный, если бы наш слух не был так мало воспитан в различении малых звуковых интервалов. Если бы, например, мы умели различать хотя бы четвертные тона, как это привычно воспитавшим свой слух на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восточной гамме, то уже и тогда модуляции слова были бы поняты нами в качестве сложных музыкальных произведений… представляющих собой сложнейшее целое, - некоторую симфонию звуков”</w:t>
      </w:r>
      <w:r w:rsidRPr="000736DB">
        <w:rPr>
          <w:rFonts w:ascii="Times New Roman" w:hAnsi="Times New Roman"/>
          <w:sz w:val="28"/>
          <w:szCs w:val="28"/>
          <w:vertAlign w:val="superscript"/>
        </w:rPr>
        <w:footnoteReference w:id="7"/>
      </w:r>
    </w:p>
    <w:p w:rsidR="00AC27F9" w:rsidRP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Эволюцию индивидуального языка Вышнеградского интересно проследить от ранних опусов середины 20-х годов, в которых еще очевидна стилистическая зависимость от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музыкального языка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Скрябина. Интересно, что основы мышления композитора всегда оставались тональными, нотация традиционной, а закономерности распределения материала между двумя (тремя, четырьмя) фортепиано, основывались на тематическом обмене,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точной имитации или дублировании фактурных комплексов. Впечатление от красочности “всезвучия”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ультрахроматических полотен Вышнеградского усиливается благодаря остинатности, нерегулярной акцентности ритмо-интонационных сегментов, экспрессивности прихотливой музыкальной ткани. При анализе партитур композитора нужно иметь в виду эффект “расщепленного” унисона,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т.к. одинаково выписанный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в двух партиях материал, естественно, звучит по-разному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у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рояля с традиционно темперированным строем и настроенного на четверть тона ниже.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Кстати, это свойство письма Вышнеградского сохранится и в дальнейшем: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в основе гармонической вертикали его музыки – всегда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унисоны, тритоны или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септимы, которые при одновременном звучании не больше диссонируют, а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“расслаиваются” на ультрахроматические интервалы.</w:t>
      </w:r>
    </w:p>
    <w:p w:rsidR="00AC27F9" w:rsidRP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В 1929 году Вышнеградский приступает к созданию симфонии “Так говорил Заратустра” для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¼-тонового фортепиано (6 рук), ¼ -тонового гармониума, ¼-тонового кларнета и струнного квинтета, которая в окончательной версии была переработана для четырех фортепиано, причем первое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и третье из них должны были быть настроены традиционно, а второе и четвертое на четверть тона ниже.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Причиной этого переложения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явился отказ самого композитора от специально сконструированных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¼-тоновых инструментов и, последовавшее за этим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авторское решение пересмотреть все сочинения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в пользу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“объединенных фортепиано”.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В дневнике Вышнеградского читаем: “Я не мог найти пианиста, исполнившего бы мою музыку (…) Наконец (…) я решительно отказался от идеи инструмента, специально сконструированного для четвертитоновой музыки.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То есть я решил использовать двух пианистов и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два инструмента, причем один из них был настроен ниже на четверть тона. Я переписал все мои сочинения и в кратчайшее время создал целый репертуар (курсив мой-Н.К).”</w:t>
      </w:r>
      <w:r w:rsidRPr="000736DB">
        <w:rPr>
          <w:rFonts w:ascii="Times New Roman" w:hAnsi="Times New Roman"/>
          <w:sz w:val="28"/>
          <w:szCs w:val="28"/>
          <w:vertAlign w:val="superscript"/>
        </w:rPr>
        <w:footnoteReference w:id="8"/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Здесь заметим, что переосмысленный инструментарий, наконец, оказался адекватен новаторским замыслам композитора, и исполнение произведений Вышнеградского стало активнее привлекать публику, критику, и заинтересованных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исполнителей.</w:t>
      </w:r>
    </w:p>
    <w:p w:rsidR="00AC27F9" w:rsidRP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 xml:space="preserve">Цикл “Так говорил Заратустра” назван </w:t>
      </w:r>
      <w:r w:rsidRPr="00A11952">
        <w:rPr>
          <w:rFonts w:ascii="Times New Roman" w:hAnsi="Times New Roman"/>
          <w:b/>
          <w:sz w:val="28"/>
          <w:szCs w:val="28"/>
        </w:rPr>
        <w:t>симфонией</w:t>
      </w:r>
      <w:r w:rsidR="000736DB" w:rsidRPr="00A11952">
        <w:rPr>
          <w:rFonts w:ascii="Times New Roman" w:hAnsi="Times New Roman"/>
          <w:b/>
          <w:sz w:val="28"/>
          <w:szCs w:val="28"/>
        </w:rPr>
        <w:t xml:space="preserve"> </w:t>
      </w:r>
      <w:r w:rsidRPr="00A11952">
        <w:rPr>
          <w:rFonts w:ascii="Times New Roman" w:hAnsi="Times New Roman"/>
          <w:b/>
          <w:sz w:val="28"/>
          <w:szCs w:val="28"/>
        </w:rPr>
        <w:t>для четырех фортепиано</w:t>
      </w:r>
      <w:r w:rsidRPr="000736DB">
        <w:rPr>
          <w:rFonts w:ascii="Times New Roman" w:hAnsi="Times New Roman"/>
          <w:sz w:val="28"/>
          <w:szCs w:val="28"/>
        </w:rPr>
        <w:t xml:space="preserve"> не случайно – для воплощения столь грандиозной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программы требовался самый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масштабный инструментальный жанр. Используя ультрахроматическую шкалу звучания, в этом цикле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Вышнеградский также не экспериментирует с формой, которая остается традиционной. Нотация произведения дополнена лишь авторскими значками, обозначающими четвертитоны и кластеры; фактура не отяжелена излишествами, тщательно распределена между инструментами, т.е. в целом, партитура выглядит достаточно традиционно.</w:t>
      </w:r>
    </w:p>
    <w:p w:rsidR="00AC27F9" w:rsidRP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Многотембровость, симфоничность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воплощения своих композиторских идей, очевидно, не оставляло Вышнеградского и далее.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Но, как уже отмечалось выше,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в 1936 году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композитор был вынужден переписать оркестровые по своему первоначальному замыслу сочинения для двух или четырех фортепиано, ввиду того, что струнные или духовые инструменты с ультрахроматическим строем представляют значительные трудности для исполнения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и восприятия.</w:t>
      </w:r>
    </w:p>
    <w:p w:rsidR="00AC27F9" w:rsidRP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Уникальным циклом, своего рода “хорошо нетемперированным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клавиром”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явились 24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Прелюдии для двух фортепиано во всех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четвертитоновых тональностях,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в которых Вышнеградский композиционно сублимирует опыт Баха, Шопена, Скрябина.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 xml:space="preserve">В марте 1934 года он записал в своем дневнике: “Начинаю цикл 24 прелюдий в </w:t>
      </w:r>
      <w:r w:rsidRPr="000736DB">
        <w:rPr>
          <w:rFonts w:ascii="Times New Roman" w:hAnsi="Times New Roman"/>
          <w:sz w:val="28"/>
          <w:szCs w:val="28"/>
          <w:lang w:val="en-US"/>
        </w:rPr>
        <w:t>quasi</w:t>
      </w:r>
      <w:r w:rsidRPr="000736DB">
        <w:rPr>
          <w:rFonts w:ascii="Times New Roman" w:hAnsi="Times New Roman"/>
          <w:sz w:val="28"/>
          <w:szCs w:val="28"/>
        </w:rPr>
        <w:t>-диатонической 13-тоновой</w:t>
      </w:r>
      <w:r w:rsidRPr="000736DB">
        <w:rPr>
          <w:rFonts w:ascii="Times New Roman" w:hAnsi="Times New Roman"/>
          <w:sz w:val="28"/>
          <w:szCs w:val="28"/>
          <w:vertAlign w:val="superscript"/>
        </w:rPr>
        <w:footnoteReference w:id="9"/>
      </w:r>
      <w:r w:rsidRPr="000736DB">
        <w:rPr>
          <w:rFonts w:ascii="Times New Roman" w:hAnsi="Times New Roman"/>
          <w:sz w:val="28"/>
          <w:szCs w:val="28"/>
        </w:rPr>
        <w:t xml:space="preserve"> системе (ор.22)”</w:t>
      </w:r>
      <w:r w:rsidRPr="000736DB">
        <w:rPr>
          <w:rFonts w:ascii="Times New Roman" w:hAnsi="Times New Roman"/>
          <w:sz w:val="28"/>
          <w:szCs w:val="28"/>
          <w:vertAlign w:val="superscript"/>
        </w:rPr>
        <w:footnoteReference w:id="10"/>
      </w:r>
      <w:r w:rsidRPr="000736DB">
        <w:rPr>
          <w:rFonts w:ascii="Times New Roman" w:hAnsi="Times New Roman"/>
          <w:sz w:val="28"/>
          <w:szCs w:val="28"/>
        </w:rPr>
        <w:t>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Написание этого цикла продолжалось параллельно с разработкой теории 13-тоновой шкалы (диатонизированной 13-звучной хроматики), которая является аналогом тональной гармонии. Расширяя гармоническую шкалу, Вышнеградский стремился не к поиску универсального композиционного метода,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а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к совершенному выражению звучания вообще, утверждению закона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A11952">
        <w:rPr>
          <w:rFonts w:ascii="Times New Roman" w:hAnsi="Times New Roman"/>
          <w:i/>
          <w:sz w:val="28"/>
          <w:szCs w:val="28"/>
        </w:rPr>
        <w:t>всезвучия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средствами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ультрахроматизма.</w:t>
      </w:r>
    </w:p>
    <w:p w:rsidR="00AC27F9" w:rsidRP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Очевидно, для композитора представлялось важным само продолжение клавирной традиции сочинения подобных циклов. Партитура Прелюдий, блестяще организованная для двух фортепиано, остается пока в ритмо-интервальной стилистике фортепианных прелюдий Скрябина. Даже соотношение “инструктивных” и “колористических” пьес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пропорционально внутренней структуре скрябинских циклов ор.17, 27.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Для обозначения четвертитоновых диезов и бемолей Вышнеградский использует похожие</w:t>
      </w:r>
      <w:r w:rsidR="000736DB">
        <w:rPr>
          <w:rFonts w:ascii="Times New Roman" w:hAnsi="Times New Roman"/>
          <w:sz w:val="28"/>
          <w:szCs w:val="28"/>
        </w:rPr>
        <w:t xml:space="preserve"> </w:t>
      </w:r>
      <w:r w:rsidRPr="000736DB">
        <w:rPr>
          <w:rFonts w:ascii="Times New Roman" w:hAnsi="Times New Roman"/>
          <w:sz w:val="28"/>
          <w:szCs w:val="28"/>
        </w:rPr>
        <w:t>графические значки, например, “диез” перечеркнут одной линией, а “бемоль” имеет незакругленную нижнюю линию. Этим нетрадиционность нотации исчерпывается, в остальном же эти лаконичные по форме пьесы с прозрачной фактурой и тщательно выписанной ньюансировкой ничем графически не отличаются от композиций для ансамбля с традиционным строем.</w:t>
      </w:r>
    </w:p>
    <w:p w:rsidR="00AC27F9" w:rsidRP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К сожалению, до настоящего времени произведения этого замечательного композитора-мыслителя остаются за чертой концертного репертуара. Тому есть ряд причин, доминирующей из которых, является, конечно, трудность перестройки инструментов. Но нам представляется, что открытие для российской публики наследия</w:t>
      </w:r>
    </w:p>
    <w:p w:rsidR="00AC27F9" w:rsidRPr="000736DB" w:rsidRDefault="00AC27F9" w:rsidP="000736D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DB">
        <w:rPr>
          <w:rFonts w:ascii="Times New Roman" w:hAnsi="Times New Roman"/>
          <w:sz w:val="28"/>
          <w:szCs w:val="28"/>
        </w:rPr>
        <w:t>Вышнеградского представляется крайне важным именно в контексте его духовных и теоретических прозрений. Это часть нашей духовной художественной истории, это огромный обобщающий опыт, истоками которого послужили традиции русской идеалистической философии, а “крона” органично вплелась в европейскую историю музыкальных экспериментов ХХ столетия.</w:t>
      </w:r>
      <w:bookmarkStart w:id="0" w:name="_GoBack"/>
      <w:bookmarkEnd w:id="0"/>
    </w:p>
    <w:sectPr w:rsidR="00AC27F9" w:rsidRPr="000736DB" w:rsidSect="000736DB">
      <w:footerReference w:type="even" r:id="rId6"/>
      <w:footerReference w:type="default" r:id="rId7"/>
      <w:pgSz w:w="11907" w:h="16840" w:code="9"/>
      <w:pgMar w:top="1134" w:right="850" w:bottom="1134" w:left="1701" w:header="720" w:footer="720" w:gutter="0"/>
      <w:pgNumType w:start="7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7AD" w:rsidRDefault="00D137AD" w:rsidP="00AC27F9">
      <w:pPr>
        <w:spacing w:after="0" w:line="240" w:lineRule="auto"/>
      </w:pPr>
      <w:r>
        <w:separator/>
      </w:r>
    </w:p>
  </w:endnote>
  <w:endnote w:type="continuationSeparator" w:id="0">
    <w:p w:rsidR="00D137AD" w:rsidRDefault="00D137AD" w:rsidP="00AC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860" w:rsidRDefault="00D04860">
    <w:pPr>
      <w:pStyle w:val="a5"/>
      <w:framePr w:wrap="around" w:vAnchor="text" w:hAnchor="margin" w:xAlign="center" w:y="1"/>
      <w:rPr>
        <w:rStyle w:val="a8"/>
      </w:rPr>
    </w:pPr>
  </w:p>
  <w:p w:rsidR="00D04860" w:rsidRDefault="00D0486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860" w:rsidRDefault="00D0486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7AD" w:rsidRDefault="00D137AD" w:rsidP="00AC27F9">
      <w:pPr>
        <w:spacing w:after="0" w:line="240" w:lineRule="auto"/>
      </w:pPr>
      <w:r>
        <w:separator/>
      </w:r>
    </w:p>
  </w:footnote>
  <w:footnote w:type="continuationSeparator" w:id="0">
    <w:p w:rsidR="00D137AD" w:rsidRDefault="00D137AD" w:rsidP="00AC27F9">
      <w:pPr>
        <w:spacing w:after="0" w:line="240" w:lineRule="auto"/>
      </w:pPr>
      <w:r>
        <w:continuationSeparator/>
      </w:r>
    </w:p>
  </w:footnote>
  <w:footnote w:id="1">
    <w:p w:rsidR="00D137AD" w:rsidRDefault="00AC27F9" w:rsidP="000736DB">
      <w:pPr>
        <w:pStyle w:val="a3"/>
        <w:widowControl w:val="0"/>
        <w:jc w:val="both"/>
      </w:pPr>
      <w:r w:rsidRPr="000736DB">
        <w:rPr>
          <w:rStyle w:val="a7"/>
          <w:rFonts w:ascii="Times New Roman" w:hAnsi="Times New Roman"/>
        </w:rPr>
        <w:footnoteRef/>
      </w:r>
      <w:r w:rsidRPr="000736DB">
        <w:rPr>
          <w:rFonts w:ascii="Times New Roman" w:hAnsi="Times New Roman"/>
        </w:rPr>
        <w:t xml:space="preserve"> Вышнеградский окончил Петербургскую консерваторию по классу Николая Соколова.</w:t>
      </w:r>
    </w:p>
  </w:footnote>
  <w:footnote w:id="2">
    <w:p w:rsidR="00D137AD" w:rsidRDefault="00AC27F9" w:rsidP="000736DB">
      <w:pPr>
        <w:pStyle w:val="a3"/>
        <w:widowControl w:val="0"/>
        <w:jc w:val="both"/>
      </w:pPr>
      <w:r w:rsidRPr="000736DB">
        <w:rPr>
          <w:rStyle w:val="a7"/>
          <w:rFonts w:ascii="Times New Roman" w:hAnsi="Times New Roman"/>
        </w:rPr>
        <w:footnoteRef/>
      </w:r>
      <w:r w:rsidRPr="000736DB">
        <w:rPr>
          <w:rFonts w:ascii="Times New Roman" w:hAnsi="Times New Roman"/>
        </w:rPr>
        <w:t xml:space="preserve"> Иван Вышнеградский. Пирамида жизни. М,2001.С.208.</w:t>
      </w:r>
    </w:p>
  </w:footnote>
  <w:footnote w:id="3">
    <w:p w:rsidR="00AC27F9" w:rsidRPr="000736DB" w:rsidRDefault="00AC27F9" w:rsidP="000736DB">
      <w:pPr>
        <w:pStyle w:val="a3"/>
        <w:widowControl w:val="0"/>
        <w:jc w:val="both"/>
        <w:rPr>
          <w:rFonts w:ascii="Times New Roman" w:hAnsi="Times New Roman"/>
        </w:rPr>
      </w:pPr>
      <w:r w:rsidRPr="000736DB">
        <w:rPr>
          <w:rStyle w:val="a7"/>
          <w:rFonts w:ascii="Times New Roman" w:hAnsi="Times New Roman"/>
        </w:rPr>
        <w:footnoteRef/>
      </w:r>
      <w:r w:rsidRPr="000736DB">
        <w:rPr>
          <w:rFonts w:ascii="Times New Roman" w:hAnsi="Times New Roman"/>
        </w:rPr>
        <w:t xml:space="preserve"> Термин И.Вышнеградского, который сначала сочинял для специально сконструированного фортепиано</w:t>
      </w:r>
    </w:p>
    <w:p w:rsidR="00D137AD" w:rsidRDefault="00AC27F9" w:rsidP="000736DB">
      <w:pPr>
        <w:pStyle w:val="a3"/>
        <w:widowControl w:val="0"/>
        <w:jc w:val="both"/>
      </w:pPr>
      <w:r w:rsidRPr="000736DB">
        <w:rPr>
          <w:rFonts w:ascii="Times New Roman" w:hAnsi="Times New Roman"/>
        </w:rPr>
        <w:t xml:space="preserve"> с двумя клавиатурами, а затем (с 1936 г.) отказался от</w:t>
      </w:r>
      <w:r w:rsidR="000736DB">
        <w:rPr>
          <w:rFonts w:ascii="Times New Roman" w:hAnsi="Times New Roman"/>
        </w:rPr>
        <w:t xml:space="preserve"> </w:t>
      </w:r>
      <w:r w:rsidRPr="000736DB">
        <w:rPr>
          <w:rFonts w:ascii="Times New Roman" w:hAnsi="Times New Roman"/>
        </w:rPr>
        <w:t>этой идеи в пользу двух-(трех-, четырех-) клавирного ансамбля.</w:t>
      </w:r>
    </w:p>
  </w:footnote>
  <w:footnote w:id="4">
    <w:p w:rsidR="00D137AD" w:rsidRDefault="00AC27F9" w:rsidP="000736DB">
      <w:pPr>
        <w:pStyle w:val="a3"/>
        <w:widowControl w:val="0"/>
        <w:jc w:val="both"/>
      </w:pPr>
      <w:r w:rsidRPr="000736DB">
        <w:rPr>
          <w:rStyle w:val="a7"/>
          <w:rFonts w:ascii="Times New Roman" w:hAnsi="Times New Roman"/>
        </w:rPr>
        <w:footnoteRef/>
      </w:r>
      <w:r w:rsidRPr="000736DB">
        <w:rPr>
          <w:rFonts w:ascii="Times New Roman" w:hAnsi="Times New Roman"/>
        </w:rPr>
        <w:t xml:space="preserve"> Алоиз Хаба, чешский композитор и пианист, один</w:t>
      </w:r>
      <w:r w:rsidR="000736DB">
        <w:rPr>
          <w:rFonts w:ascii="Times New Roman" w:hAnsi="Times New Roman"/>
        </w:rPr>
        <w:t xml:space="preserve"> </w:t>
      </w:r>
      <w:r w:rsidRPr="000736DB">
        <w:rPr>
          <w:rFonts w:ascii="Times New Roman" w:hAnsi="Times New Roman"/>
        </w:rPr>
        <w:t>из пропагандистов четвертитоновой музыки, работавший над созданием первого четвертитонового фортепиано вместе с И.</w:t>
      </w:r>
      <w:r w:rsidR="000736DB">
        <w:rPr>
          <w:rFonts w:ascii="Times New Roman" w:hAnsi="Times New Roman"/>
        </w:rPr>
        <w:t xml:space="preserve"> </w:t>
      </w:r>
      <w:r w:rsidRPr="000736DB">
        <w:rPr>
          <w:rFonts w:ascii="Times New Roman" w:hAnsi="Times New Roman"/>
        </w:rPr>
        <w:t>Вышнеградским.</w:t>
      </w:r>
    </w:p>
  </w:footnote>
  <w:footnote w:id="5">
    <w:p w:rsidR="00D137AD" w:rsidRDefault="00AC27F9" w:rsidP="000736DB">
      <w:pPr>
        <w:pStyle w:val="a3"/>
        <w:widowControl w:val="0"/>
        <w:jc w:val="both"/>
      </w:pPr>
      <w:r w:rsidRPr="000736DB">
        <w:rPr>
          <w:rStyle w:val="a7"/>
          <w:rFonts w:ascii="Times New Roman" w:hAnsi="Times New Roman"/>
        </w:rPr>
        <w:footnoteRef/>
      </w:r>
      <w:r w:rsidRPr="000736DB">
        <w:rPr>
          <w:rFonts w:ascii="Times New Roman" w:hAnsi="Times New Roman"/>
        </w:rPr>
        <w:t xml:space="preserve"> Вышнеградский И. Пирамида жизни. М., “Композитор”, 2001.С.150.</w:t>
      </w:r>
    </w:p>
  </w:footnote>
  <w:footnote w:id="6">
    <w:p w:rsidR="00AC27F9" w:rsidRPr="000736DB" w:rsidRDefault="00AC27F9" w:rsidP="000736DB">
      <w:pPr>
        <w:pStyle w:val="a3"/>
        <w:widowControl w:val="0"/>
        <w:jc w:val="both"/>
        <w:rPr>
          <w:rFonts w:ascii="Times New Roman" w:hAnsi="Times New Roman"/>
        </w:rPr>
      </w:pPr>
      <w:r w:rsidRPr="000736DB">
        <w:rPr>
          <w:rStyle w:val="a7"/>
          <w:rFonts w:ascii="Times New Roman" w:hAnsi="Times New Roman"/>
        </w:rPr>
        <w:footnoteRef/>
      </w:r>
      <w:r w:rsidRPr="000736DB">
        <w:rPr>
          <w:rFonts w:ascii="Times New Roman" w:hAnsi="Times New Roman"/>
        </w:rPr>
        <w:t xml:space="preserve"> Первое упоминание этой работы в дневнике композитора относится к 1924 году. Над второй версией, с подзаголовком</w:t>
      </w:r>
      <w:r w:rsidR="000736DB">
        <w:rPr>
          <w:rFonts w:ascii="Times New Roman" w:hAnsi="Times New Roman"/>
        </w:rPr>
        <w:t xml:space="preserve"> </w:t>
      </w:r>
      <w:r w:rsidRPr="000736DB">
        <w:rPr>
          <w:rFonts w:ascii="Times New Roman" w:hAnsi="Times New Roman"/>
        </w:rPr>
        <w:t>“Современная</w:t>
      </w:r>
      <w:r w:rsidR="000736DB">
        <w:rPr>
          <w:rFonts w:ascii="Times New Roman" w:hAnsi="Times New Roman"/>
        </w:rPr>
        <w:t xml:space="preserve"> </w:t>
      </w:r>
      <w:r w:rsidRPr="000736DB">
        <w:rPr>
          <w:rFonts w:ascii="Times New Roman" w:hAnsi="Times New Roman"/>
        </w:rPr>
        <w:t xml:space="preserve">(диалектическая ) философия музыкального искусства” он будет </w:t>
      </w:r>
    </w:p>
    <w:p w:rsidR="00AC27F9" w:rsidRPr="000736DB" w:rsidRDefault="000736DB" w:rsidP="000736DB">
      <w:pPr>
        <w:pStyle w:val="a3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C27F9" w:rsidRPr="000736DB">
        <w:rPr>
          <w:rFonts w:ascii="Times New Roman" w:hAnsi="Times New Roman"/>
        </w:rPr>
        <w:t>работать в 1933-1936 и 1951-1955 годах. Издан этот труд лишь в 1996 году.</w:t>
      </w:r>
    </w:p>
    <w:p w:rsidR="00AC27F9" w:rsidRPr="000736DB" w:rsidRDefault="000736DB" w:rsidP="000736DB">
      <w:pPr>
        <w:pStyle w:val="a3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C27F9" w:rsidRPr="000736DB">
        <w:rPr>
          <w:rFonts w:ascii="Times New Roman" w:hAnsi="Times New Roman"/>
        </w:rPr>
        <w:t xml:space="preserve">“Всезвучие” – основополагающее понятие в системе Вышнеградского, означает для него, собственно, </w:t>
      </w:r>
    </w:p>
    <w:p w:rsidR="00AC27F9" w:rsidRPr="000736DB" w:rsidRDefault="000736DB" w:rsidP="000736DB">
      <w:pPr>
        <w:pStyle w:val="a3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C27F9" w:rsidRPr="000736DB">
        <w:rPr>
          <w:rFonts w:ascii="Times New Roman" w:hAnsi="Times New Roman"/>
        </w:rPr>
        <w:t>праматерию, звуковую первооснову музыки. Также он называет эту субстанцию</w:t>
      </w:r>
      <w:r>
        <w:rPr>
          <w:rFonts w:ascii="Times New Roman" w:hAnsi="Times New Roman"/>
        </w:rPr>
        <w:t xml:space="preserve"> </w:t>
      </w:r>
      <w:r w:rsidR="00AC27F9" w:rsidRPr="000736DB">
        <w:rPr>
          <w:rFonts w:ascii="Times New Roman" w:hAnsi="Times New Roman"/>
        </w:rPr>
        <w:t>“звуковым кон-</w:t>
      </w:r>
    </w:p>
    <w:p w:rsidR="00D137AD" w:rsidRDefault="000736DB" w:rsidP="000736DB">
      <w:pPr>
        <w:pStyle w:val="a3"/>
        <w:widowControl w:val="0"/>
        <w:jc w:val="both"/>
      </w:pPr>
      <w:r>
        <w:rPr>
          <w:rFonts w:ascii="Times New Roman" w:hAnsi="Times New Roman"/>
        </w:rPr>
        <w:t xml:space="preserve"> </w:t>
      </w:r>
      <w:r w:rsidR="00AC27F9" w:rsidRPr="000736DB">
        <w:rPr>
          <w:rFonts w:ascii="Times New Roman" w:hAnsi="Times New Roman"/>
        </w:rPr>
        <w:t xml:space="preserve">тинуумом”, “одновременностью”, “равновесием”, “абсолютным консонансом”. </w:t>
      </w:r>
    </w:p>
  </w:footnote>
  <w:footnote w:id="7">
    <w:p w:rsidR="00D137AD" w:rsidRDefault="00AC27F9" w:rsidP="000736DB">
      <w:pPr>
        <w:pStyle w:val="a3"/>
        <w:widowControl w:val="0"/>
        <w:jc w:val="both"/>
      </w:pPr>
      <w:r w:rsidRPr="000736DB">
        <w:rPr>
          <w:rStyle w:val="a7"/>
          <w:rFonts w:ascii="Times New Roman" w:hAnsi="Times New Roman"/>
        </w:rPr>
        <w:footnoteRef/>
      </w:r>
      <w:r w:rsidRPr="000736DB">
        <w:rPr>
          <w:rFonts w:ascii="Times New Roman" w:hAnsi="Times New Roman"/>
        </w:rPr>
        <w:t xml:space="preserve"> Флоренский П. Столп и утверждение истины. Том 2. У водоразделов мысли. Ст. “Магичность слова”.</w:t>
      </w:r>
      <w:r w:rsidR="000736DB">
        <w:rPr>
          <w:rFonts w:ascii="Times New Roman" w:hAnsi="Times New Roman"/>
        </w:rPr>
        <w:t xml:space="preserve"> </w:t>
      </w:r>
      <w:r w:rsidRPr="000736DB">
        <w:rPr>
          <w:rFonts w:ascii="Times New Roman" w:hAnsi="Times New Roman"/>
        </w:rPr>
        <w:t>М., 1990. С.257.</w:t>
      </w:r>
    </w:p>
  </w:footnote>
  <w:footnote w:id="8">
    <w:p w:rsidR="00D137AD" w:rsidRDefault="00AC27F9" w:rsidP="000736DB">
      <w:pPr>
        <w:pStyle w:val="a3"/>
        <w:widowControl w:val="0"/>
        <w:jc w:val="both"/>
      </w:pPr>
      <w:r w:rsidRPr="000736DB">
        <w:rPr>
          <w:rStyle w:val="a7"/>
          <w:rFonts w:ascii="Times New Roman" w:hAnsi="Times New Roman"/>
        </w:rPr>
        <w:footnoteRef/>
      </w:r>
      <w:r w:rsidRPr="000736DB">
        <w:rPr>
          <w:rFonts w:ascii="Times New Roman" w:hAnsi="Times New Roman"/>
        </w:rPr>
        <w:t xml:space="preserve"> Там же.</w:t>
      </w:r>
      <w:r w:rsidR="000736DB">
        <w:rPr>
          <w:rFonts w:ascii="Times New Roman" w:hAnsi="Times New Roman"/>
        </w:rPr>
        <w:t xml:space="preserve"> </w:t>
      </w:r>
      <w:r w:rsidRPr="000736DB">
        <w:rPr>
          <w:rFonts w:ascii="Times New Roman" w:hAnsi="Times New Roman"/>
        </w:rPr>
        <w:t>С.190.</w:t>
      </w:r>
    </w:p>
  </w:footnote>
  <w:footnote w:id="9">
    <w:p w:rsidR="00D137AD" w:rsidRDefault="00AC27F9" w:rsidP="000736DB">
      <w:pPr>
        <w:pStyle w:val="a3"/>
        <w:widowControl w:val="0"/>
        <w:jc w:val="both"/>
      </w:pPr>
      <w:r w:rsidRPr="000736DB">
        <w:rPr>
          <w:rStyle w:val="a7"/>
          <w:rFonts w:ascii="Times New Roman" w:hAnsi="Times New Roman"/>
        </w:rPr>
        <w:footnoteRef/>
      </w:r>
      <w:r w:rsidRPr="000736DB">
        <w:rPr>
          <w:rFonts w:ascii="Times New Roman" w:hAnsi="Times New Roman"/>
        </w:rPr>
        <w:t xml:space="preserve"> 13-звучная диатонизированная хроматика</w:t>
      </w:r>
      <w:r w:rsidR="000736DB">
        <w:rPr>
          <w:rFonts w:ascii="Times New Roman" w:hAnsi="Times New Roman"/>
        </w:rPr>
        <w:t xml:space="preserve"> </w:t>
      </w:r>
      <w:r w:rsidRPr="000736DB">
        <w:rPr>
          <w:rFonts w:ascii="Times New Roman" w:hAnsi="Times New Roman"/>
        </w:rPr>
        <w:t>- своего</w:t>
      </w:r>
      <w:r w:rsidR="000736DB">
        <w:rPr>
          <w:rFonts w:ascii="Times New Roman" w:hAnsi="Times New Roman"/>
        </w:rPr>
        <w:t xml:space="preserve"> </w:t>
      </w:r>
      <w:r w:rsidRPr="000736DB">
        <w:rPr>
          <w:rFonts w:ascii="Times New Roman" w:hAnsi="Times New Roman"/>
        </w:rPr>
        <w:t>рода аналог тональной гармонии, но с ¼-тоновым</w:t>
      </w:r>
      <w:r w:rsidR="000736DB">
        <w:rPr>
          <w:rFonts w:ascii="Times New Roman" w:hAnsi="Times New Roman"/>
        </w:rPr>
        <w:t xml:space="preserve"> </w:t>
      </w:r>
      <w:r w:rsidRPr="000736DB">
        <w:rPr>
          <w:rFonts w:ascii="Times New Roman" w:hAnsi="Times New Roman"/>
        </w:rPr>
        <w:t>повышением кварты и понижением квинты. В этой форме намечаются принципы циклической гармонии.</w:t>
      </w:r>
    </w:p>
  </w:footnote>
  <w:footnote w:id="10">
    <w:p w:rsidR="00D137AD" w:rsidRDefault="00AC27F9" w:rsidP="000736DB">
      <w:pPr>
        <w:pStyle w:val="a3"/>
        <w:widowControl w:val="0"/>
        <w:jc w:val="both"/>
      </w:pPr>
      <w:r w:rsidRPr="000736DB">
        <w:rPr>
          <w:rStyle w:val="a7"/>
          <w:rFonts w:ascii="Times New Roman" w:hAnsi="Times New Roman"/>
        </w:rPr>
        <w:footnoteRef/>
      </w:r>
      <w:r w:rsidRPr="000736DB">
        <w:rPr>
          <w:rFonts w:ascii="Times New Roman" w:hAnsi="Times New Roman"/>
        </w:rPr>
        <w:t xml:space="preserve"> Цит. по: Иван Вышнеградский. Пирамида жизни. М.,2001. С.183.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7F9"/>
    <w:rsid w:val="00020345"/>
    <w:rsid w:val="000631A2"/>
    <w:rsid w:val="000736DB"/>
    <w:rsid w:val="00077D15"/>
    <w:rsid w:val="00086AA6"/>
    <w:rsid w:val="000A14DB"/>
    <w:rsid w:val="000B3504"/>
    <w:rsid w:val="00145B71"/>
    <w:rsid w:val="001C5D13"/>
    <w:rsid w:val="001D19C4"/>
    <w:rsid w:val="002114B0"/>
    <w:rsid w:val="00216E03"/>
    <w:rsid w:val="002226D8"/>
    <w:rsid w:val="00241812"/>
    <w:rsid w:val="002620C4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925FE"/>
    <w:rsid w:val="003A4E42"/>
    <w:rsid w:val="003A6E5E"/>
    <w:rsid w:val="003C4B4E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C43CC"/>
    <w:rsid w:val="004F13E4"/>
    <w:rsid w:val="005236DB"/>
    <w:rsid w:val="0058263D"/>
    <w:rsid w:val="0059166F"/>
    <w:rsid w:val="005B1F3E"/>
    <w:rsid w:val="005E36A6"/>
    <w:rsid w:val="005E6369"/>
    <w:rsid w:val="00620D39"/>
    <w:rsid w:val="00634225"/>
    <w:rsid w:val="006476C1"/>
    <w:rsid w:val="006824EB"/>
    <w:rsid w:val="00687B4B"/>
    <w:rsid w:val="006A1853"/>
    <w:rsid w:val="006D0DC8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45BC2"/>
    <w:rsid w:val="00981B15"/>
    <w:rsid w:val="009C4F80"/>
    <w:rsid w:val="00A05B06"/>
    <w:rsid w:val="00A11952"/>
    <w:rsid w:val="00A12F43"/>
    <w:rsid w:val="00A17112"/>
    <w:rsid w:val="00A522BD"/>
    <w:rsid w:val="00AC27F9"/>
    <w:rsid w:val="00AC32D3"/>
    <w:rsid w:val="00AD206E"/>
    <w:rsid w:val="00B066B5"/>
    <w:rsid w:val="00B11AEA"/>
    <w:rsid w:val="00B144AF"/>
    <w:rsid w:val="00B221DB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D0381E"/>
    <w:rsid w:val="00D04860"/>
    <w:rsid w:val="00D137AD"/>
    <w:rsid w:val="00D178F9"/>
    <w:rsid w:val="00D17FAA"/>
    <w:rsid w:val="00DB304C"/>
    <w:rsid w:val="00DC410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7B8B3BE-D859-4412-9525-BE526BF9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1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C27F9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  <w:locked/>
    <w:rsid w:val="00AC27F9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C2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link w:val="a5"/>
    <w:uiPriority w:val="99"/>
    <w:semiHidden/>
    <w:locked/>
    <w:rsid w:val="00AC27F9"/>
    <w:rPr>
      <w:rFonts w:cs="Times New Roman"/>
    </w:rPr>
  </w:style>
  <w:style w:type="character" w:styleId="a7">
    <w:name w:val="footnote reference"/>
    <w:uiPriority w:val="99"/>
    <w:semiHidden/>
    <w:rsid w:val="00AC27F9"/>
    <w:rPr>
      <w:rFonts w:cs="Times New Roman"/>
      <w:vertAlign w:val="superscript"/>
    </w:rPr>
  </w:style>
  <w:style w:type="character" w:styleId="a8">
    <w:name w:val="page number"/>
    <w:uiPriority w:val="99"/>
    <w:semiHidden/>
    <w:rsid w:val="00AC27F9"/>
    <w:rPr>
      <w:rFonts w:cs="Times New Roman"/>
    </w:rPr>
  </w:style>
  <w:style w:type="paragraph" w:styleId="a9">
    <w:name w:val="header"/>
    <w:basedOn w:val="a"/>
    <w:link w:val="aa"/>
    <w:uiPriority w:val="99"/>
    <w:semiHidden/>
    <w:unhideWhenUsed/>
    <w:rsid w:val="0007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semiHidden/>
    <w:locked/>
    <w:rsid w:val="000736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Irina</cp:lastModifiedBy>
  <cp:revision>2</cp:revision>
  <dcterms:created xsi:type="dcterms:W3CDTF">2014-09-12T13:06:00Z</dcterms:created>
  <dcterms:modified xsi:type="dcterms:W3CDTF">2014-09-12T13:06:00Z</dcterms:modified>
</cp:coreProperties>
</file>