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333" w:rsidRDefault="001F6333">
      <w:pPr>
        <w:widowControl w:val="0"/>
        <w:spacing w:before="120"/>
        <w:jc w:val="center"/>
        <w:rPr>
          <w:b/>
          <w:bCs/>
          <w:color w:val="000000"/>
          <w:sz w:val="32"/>
          <w:szCs w:val="32"/>
        </w:rPr>
      </w:pPr>
      <w:r>
        <w:rPr>
          <w:b/>
          <w:bCs/>
          <w:color w:val="000000"/>
          <w:sz w:val="32"/>
          <w:szCs w:val="32"/>
        </w:rPr>
        <w:t xml:space="preserve">Международные стандарты отчетности – условие прозрачного управления предприятием </w:t>
      </w:r>
    </w:p>
    <w:p w:rsidR="001F6333" w:rsidRDefault="001F6333">
      <w:pPr>
        <w:widowControl w:val="0"/>
        <w:spacing w:before="120"/>
        <w:ind w:firstLine="567"/>
        <w:jc w:val="both"/>
        <w:rPr>
          <w:color w:val="000000"/>
          <w:sz w:val="24"/>
          <w:szCs w:val="24"/>
        </w:rPr>
      </w:pPr>
      <w:r>
        <w:rPr>
          <w:color w:val="000000"/>
          <w:sz w:val="24"/>
          <w:szCs w:val="24"/>
        </w:rPr>
        <w:t>Несопоставимость сведений о деятельности фирм приводит к ошибкам в управлении</w:t>
      </w:r>
    </w:p>
    <w:p w:rsidR="001F6333" w:rsidRDefault="001F6333">
      <w:pPr>
        <w:widowControl w:val="0"/>
        <w:spacing w:before="120"/>
        <w:ind w:firstLine="567"/>
        <w:jc w:val="both"/>
        <w:rPr>
          <w:color w:val="000000"/>
          <w:sz w:val="24"/>
          <w:szCs w:val="24"/>
        </w:rPr>
      </w:pPr>
      <w:r>
        <w:rPr>
          <w:color w:val="000000"/>
          <w:sz w:val="24"/>
          <w:szCs w:val="24"/>
        </w:rPr>
        <w:t>Международные стандарты финансовой отчетности применяют свыше 200 тыс. предприятий в 103 странах</w:t>
      </w:r>
    </w:p>
    <w:p w:rsidR="001F6333" w:rsidRDefault="001F6333">
      <w:pPr>
        <w:widowControl w:val="0"/>
        <w:spacing w:before="120"/>
        <w:ind w:firstLine="567"/>
        <w:jc w:val="both"/>
        <w:rPr>
          <w:color w:val="000000"/>
          <w:sz w:val="24"/>
          <w:szCs w:val="24"/>
        </w:rPr>
      </w:pPr>
      <w:r>
        <w:rPr>
          <w:color w:val="000000"/>
          <w:sz w:val="24"/>
          <w:szCs w:val="24"/>
        </w:rPr>
        <w:t xml:space="preserve">Российские компании, планирующие работать на мировых фондовых рынках, обязаны представлять свои отчеты в соответствии с мировыми стандартами </w:t>
      </w:r>
    </w:p>
    <w:p w:rsidR="001F6333" w:rsidRDefault="001F6333">
      <w:pPr>
        <w:widowControl w:val="0"/>
        <w:spacing w:before="120"/>
        <w:ind w:firstLine="567"/>
        <w:jc w:val="both"/>
        <w:rPr>
          <w:color w:val="000000"/>
          <w:sz w:val="24"/>
          <w:szCs w:val="24"/>
        </w:rPr>
      </w:pPr>
      <w:r>
        <w:rPr>
          <w:color w:val="000000"/>
          <w:sz w:val="24"/>
          <w:szCs w:val="24"/>
        </w:rPr>
        <w:t>Крах мировых фондовых рынков, породивший в 1929 г. многолетний глобальный экономический кризис, выявил недостаточность применявшейся системы бухгалтерского учета и финансовой отчетности. Из-за этого сведения о деятельности разных компаний оказывались несопоставимыми, приводили к ошибочным выводам. Движение капиталов направлялось по ложному руслу, что изначально содержало возможность новых биржевых крахов. Национальные общепризнанные принципы учета (ГААП), зародившиеся в начале 30-х годов в США и получившие распространение в Канаде, Англии, Мексике, Италии и некоторых других странах, также не решали задачу. В каждой стране они имели свои особенности, но все же обеспечивали известное единство и стабильность подходов к ведению бухгалтерского учета и составлению финансовой отчетности. Но и их эпоха проходит.</w:t>
      </w:r>
    </w:p>
    <w:p w:rsidR="001F6333" w:rsidRDefault="001F6333">
      <w:pPr>
        <w:widowControl w:val="0"/>
        <w:spacing w:before="120"/>
        <w:ind w:firstLine="567"/>
        <w:jc w:val="both"/>
        <w:rPr>
          <w:color w:val="000000"/>
          <w:sz w:val="24"/>
          <w:szCs w:val="24"/>
        </w:rPr>
      </w:pPr>
      <w:r>
        <w:rPr>
          <w:color w:val="000000"/>
          <w:sz w:val="24"/>
          <w:szCs w:val="24"/>
        </w:rPr>
        <w:t>Национальные ГААП постепенно вытесняются международными стандартами финансовой отчетности (МСФО), работа над которыми началась еще в 60-е годы под эгидой Центра ООН по транснациональным корпорациям. Возглавляет эту работу Комитет по международным стандартам финансовой отчетности, работающий с 1973 г. в Лондоне. В 1999 г. его членами были 142 представителя из 103 стран. К настоящему времени КМСФО утверждено 39 стандартов, которые добровольно применяют около 40 тыс. ТНК с более чем 200 тыс. предприятий во многих странах мира. Европейская комиссия заявила, что рассматривает МСФО как подходящую основу для гармонизации финансовой отчетности внутри ЕС.</w:t>
      </w:r>
    </w:p>
    <w:p w:rsidR="001F6333" w:rsidRDefault="001F6333">
      <w:pPr>
        <w:widowControl w:val="0"/>
        <w:spacing w:before="120"/>
        <w:jc w:val="center"/>
        <w:rPr>
          <w:b/>
          <w:bCs/>
          <w:color w:val="000000"/>
          <w:sz w:val="28"/>
          <w:szCs w:val="28"/>
        </w:rPr>
      </w:pPr>
      <w:r>
        <w:rPr>
          <w:b/>
          <w:bCs/>
          <w:color w:val="000000"/>
          <w:sz w:val="28"/>
          <w:szCs w:val="28"/>
        </w:rPr>
        <w:t>Концептуальные принципы</w:t>
      </w:r>
    </w:p>
    <w:p w:rsidR="001F6333" w:rsidRDefault="001F6333">
      <w:pPr>
        <w:widowControl w:val="0"/>
        <w:spacing w:before="120"/>
        <w:ind w:firstLine="567"/>
        <w:jc w:val="both"/>
        <w:rPr>
          <w:color w:val="000000"/>
          <w:sz w:val="24"/>
          <w:szCs w:val="24"/>
        </w:rPr>
      </w:pPr>
      <w:r>
        <w:rPr>
          <w:color w:val="000000"/>
          <w:sz w:val="24"/>
          <w:szCs w:val="24"/>
        </w:rPr>
        <w:t>Основная цель финансовой отчетности – облегчение принятия экономических решений. Поэтому задача МСФО состоит в предоставлении всем пользователям необходимых сведений о финансовом положении, результатах хозяйственной деятельности компании либо консолидированной группы компаний, эффективности управления ею.</w:t>
      </w:r>
    </w:p>
    <w:p w:rsidR="001F6333" w:rsidRDefault="001F6333">
      <w:pPr>
        <w:widowControl w:val="0"/>
        <w:spacing w:before="120"/>
        <w:ind w:firstLine="567"/>
        <w:jc w:val="both"/>
        <w:rPr>
          <w:color w:val="000000"/>
          <w:sz w:val="24"/>
          <w:szCs w:val="24"/>
        </w:rPr>
      </w:pPr>
      <w:r>
        <w:rPr>
          <w:color w:val="000000"/>
          <w:sz w:val="24"/>
          <w:szCs w:val="24"/>
        </w:rPr>
        <w:t>Экономические решения принимаются на основе оценки будущих денежных потоков, вероятной рентабельности и финансовой устойчивости действующей компании. Поэтому отчеты, составленные по правилам МСО, имеют перспективный характер, несмотря на то что содержащаяся в них информация относится к прошедшему отчетному периоду.</w:t>
      </w:r>
    </w:p>
    <w:p w:rsidR="001F6333" w:rsidRDefault="001F6333">
      <w:pPr>
        <w:widowControl w:val="0"/>
        <w:spacing w:before="120"/>
        <w:ind w:firstLine="567"/>
        <w:jc w:val="both"/>
        <w:rPr>
          <w:color w:val="000000"/>
          <w:sz w:val="24"/>
          <w:szCs w:val="24"/>
        </w:rPr>
      </w:pPr>
      <w:r>
        <w:rPr>
          <w:color w:val="000000"/>
          <w:sz w:val="24"/>
          <w:szCs w:val="24"/>
        </w:rPr>
        <w:t>Прогнозную характеристику отчетной информации придают два основополагающих принципа – действующего предприятия и начисления признаваемых данных о событиях и фактах хозяйственной жизни. Первый из них состоит в том, что финансовая отчетность составляется исходя из предположения: у предприятия (компании) нет ни намерения, ни необходимости прекращать или существенно сокращать хозяйственно-финансовую деятельность, второй предполагает, что все хозяйственные операции и другие события отражаются в учете и отчетности в тех отчетных периодах, в которых они совершались, независимо от получения или выплаты денежных средств либо их эквивалентов по этим операциям. Применение принципа начисления позволяет сблизить во времени момент сопоставления доходов и расходов, разделить операции продажи и кредитования, точнее измерить результаты коммерческих и финансовых операций.</w:t>
      </w:r>
    </w:p>
    <w:p w:rsidR="001F6333" w:rsidRDefault="001F6333">
      <w:pPr>
        <w:widowControl w:val="0"/>
        <w:spacing w:before="120"/>
        <w:ind w:firstLine="567"/>
        <w:jc w:val="both"/>
        <w:rPr>
          <w:color w:val="000000"/>
          <w:sz w:val="24"/>
          <w:szCs w:val="24"/>
        </w:rPr>
      </w:pPr>
      <w:r>
        <w:rPr>
          <w:color w:val="000000"/>
          <w:sz w:val="24"/>
          <w:szCs w:val="24"/>
        </w:rPr>
        <w:t>Из принципа начисления вытекает ряд производных положений. Принцип осмотрительности означает, что при формировании информации в финансовой отчетности следует придерживаться определенной осторожности в суждениях и оценках, имеющих место в условиях неопределенности с тем, чтобы активы и доходы не были завышены, а обязательства и расходы занижены. Другими словами, МСФО предписывают проявлять большую готовность к учету потенциальных убытков или обязательств, чем потенциальных прибылей и активов. Принцип преобладания содержания над формой гласит: хозяйственные операции и другие события необходимо учитывать и представлять в соответствии с их реальным экономическим содержанием, а не с их юридической формой. К примеру, имущество, полученное в долгосрочную аренду, вопреки гражданскому законодательству следует представить в финансовой отчетности как собственные активы, поскольку это имущество объективно формирует производственный потенциал компании на длительную перспективу.</w:t>
      </w:r>
    </w:p>
    <w:p w:rsidR="001F6333" w:rsidRDefault="001F6333">
      <w:pPr>
        <w:widowControl w:val="0"/>
        <w:spacing w:before="120"/>
        <w:ind w:firstLine="567"/>
        <w:jc w:val="both"/>
        <w:rPr>
          <w:color w:val="000000"/>
          <w:sz w:val="24"/>
          <w:szCs w:val="24"/>
        </w:rPr>
      </w:pPr>
      <w:r>
        <w:rPr>
          <w:color w:val="000000"/>
          <w:sz w:val="24"/>
          <w:szCs w:val="24"/>
        </w:rPr>
        <w:t>Помимо этого международные стандарты требуют внимательно относиться и к таким факторам, как надежность отчетной информации, полнота и своевременность предоставляемых данных, с отражением в них существенных и понятных сведений, обеспечивающих их сопоставимость в динамике и с данными других компаний. Заметим, что каждая приведенная пара принципов противоречива и требует продуманного выбора действий в конкретной ситуации. В частности, стремление наиболее полно отразить все существенные данные влияет на своевременность предоставления информации, препятствует ее получению пользователями в нужное время. В то же время исключение несущественной информации может негативно отразиться на ее полноте и понятности и, наоборот, чрезмерная детализация затрудняет понимание пользователями важных общих характеристик.</w:t>
      </w:r>
    </w:p>
    <w:p w:rsidR="001F6333" w:rsidRDefault="001F6333">
      <w:pPr>
        <w:widowControl w:val="0"/>
        <w:spacing w:before="120"/>
        <w:jc w:val="center"/>
        <w:rPr>
          <w:b/>
          <w:bCs/>
          <w:color w:val="000000"/>
          <w:sz w:val="28"/>
          <w:szCs w:val="28"/>
        </w:rPr>
      </w:pPr>
      <w:r>
        <w:rPr>
          <w:b/>
          <w:bCs/>
          <w:color w:val="000000"/>
          <w:sz w:val="28"/>
          <w:szCs w:val="28"/>
        </w:rPr>
        <w:t>Элементы финансовой отчетности и их оценка</w:t>
      </w:r>
    </w:p>
    <w:p w:rsidR="001F6333" w:rsidRDefault="001F6333">
      <w:pPr>
        <w:widowControl w:val="0"/>
        <w:spacing w:before="120"/>
        <w:ind w:firstLine="567"/>
        <w:jc w:val="both"/>
        <w:rPr>
          <w:color w:val="000000"/>
          <w:sz w:val="24"/>
          <w:szCs w:val="24"/>
        </w:rPr>
      </w:pPr>
      <w:r>
        <w:rPr>
          <w:color w:val="000000"/>
          <w:sz w:val="24"/>
          <w:szCs w:val="24"/>
        </w:rPr>
        <w:t>Международные стандарты устанавливают, что финансовая отчетность состоит из бухгалтерского баланса, сведений о прибылях и убытках, движении денежных средств и собственного капитала, распределении чистой прибыли, а также пояснений и примечаний, раскрывающих содержание приведенных показателей. При этом пояснения и примечания составляют важную часть отчета. Из 39 международных стандартов, действующих в настоящее время, 37 касаются признания, оценки и дополнительного раскрытия информации в пояснениях и примечаниях.</w:t>
      </w:r>
    </w:p>
    <w:p w:rsidR="001F6333" w:rsidRDefault="001F6333">
      <w:pPr>
        <w:widowControl w:val="0"/>
        <w:spacing w:before="120"/>
        <w:ind w:firstLine="567"/>
        <w:jc w:val="both"/>
        <w:rPr>
          <w:color w:val="000000"/>
          <w:sz w:val="24"/>
          <w:szCs w:val="24"/>
        </w:rPr>
      </w:pPr>
      <w:r>
        <w:rPr>
          <w:color w:val="000000"/>
          <w:sz w:val="24"/>
          <w:szCs w:val="24"/>
        </w:rPr>
        <w:t>Информация, имеющаяся в финансовой отчетности, в соответствии с ее экономическим содержанием объединяется в общие категории, называемые элементами отчетности. Финансовое положение предприятия характеризуют такие элементы, как активы, обязательства и капитал, а результаты хозяйственной деятельности – доходы и расходы.</w:t>
      </w:r>
    </w:p>
    <w:p w:rsidR="001F6333" w:rsidRDefault="001F6333">
      <w:pPr>
        <w:widowControl w:val="0"/>
        <w:spacing w:before="120"/>
        <w:ind w:firstLine="567"/>
        <w:jc w:val="both"/>
        <w:rPr>
          <w:color w:val="000000"/>
          <w:sz w:val="24"/>
          <w:szCs w:val="24"/>
        </w:rPr>
      </w:pPr>
      <w:r>
        <w:rPr>
          <w:color w:val="000000"/>
          <w:sz w:val="24"/>
          <w:szCs w:val="24"/>
        </w:rPr>
        <w:t>Активы – это ресурсы и имущество, контролируемые данной организацией в результате операций и событий, состоявшихся в отчетном или иных прошедших периодах. Они способны в будущем обеспечить определенную экономическую выгоду, заключающуюся в поступлении денежных средств или их эквивалентов либо в их экономии. Сами денежные средства, как и их эквиваленты, также являются активами. Последние обычно приобретаются за деньги или в обмен на другие активы либо производятся в самой организации.</w:t>
      </w:r>
    </w:p>
    <w:p w:rsidR="001F6333" w:rsidRDefault="001F6333">
      <w:pPr>
        <w:widowControl w:val="0"/>
        <w:spacing w:before="120"/>
        <w:ind w:firstLine="567"/>
        <w:jc w:val="both"/>
        <w:rPr>
          <w:color w:val="000000"/>
          <w:sz w:val="24"/>
          <w:szCs w:val="24"/>
        </w:rPr>
      </w:pPr>
      <w:r>
        <w:rPr>
          <w:color w:val="000000"/>
          <w:sz w:val="24"/>
          <w:szCs w:val="24"/>
        </w:rPr>
        <w:t>Обязательства – это долги, по которым имеется уверенность, что их погашение или урегулирование приведет к уменьшению экономической выгоды в виде сокращения реальных активов. В обязательстве воплощена конкретная задолженность, требующая погашения, или обязанность действовать определенным образом, например устранять неисправности в проданной продукции или выполнять предварительно оплаченную работу. Обязательства принимаются на учет только тогда, когда известно, что их урегулирование предполагает определенные затраты, уменьшающие активы, либо сокращение экономических выгод иным путем.</w:t>
      </w:r>
    </w:p>
    <w:p w:rsidR="001F6333" w:rsidRDefault="001F6333">
      <w:pPr>
        <w:widowControl w:val="0"/>
        <w:spacing w:before="120"/>
        <w:ind w:firstLine="567"/>
        <w:jc w:val="both"/>
        <w:rPr>
          <w:color w:val="000000"/>
          <w:sz w:val="24"/>
          <w:szCs w:val="24"/>
        </w:rPr>
      </w:pPr>
      <w:r>
        <w:rPr>
          <w:color w:val="000000"/>
          <w:sz w:val="24"/>
          <w:szCs w:val="24"/>
        </w:rPr>
        <w:t>Капитал составляет стоимость активов, которые не должны и не будут направлены в будущем на урегулирование обязательств организации. Эта сумма, как правило, отличается от совокупной стоимости акций корпорации на фондовом рынке или от продажной стоимости данной организации как целого либо продажной стоимости ее активов, реализуемых по частям.</w:t>
      </w:r>
    </w:p>
    <w:p w:rsidR="001F6333" w:rsidRDefault="001F6333">
      <w:pPr>
        <w:widowControl w:val="0"/>
        <w:spacing w:before="120"/>
        <w:ind w:firstLine="567"/>
        <w:jc w:val="both"/>
        <w:rPr>
          <w:color w:val="000000"/>
          <w:sz w:val="24"/>
          <w:szCs w:val="24"/>
        </w:rPr>
      </w:pPr>
      <w:r>
        <w:rPr>
          <w:color w:val="000000"/>
          <w:sz w:val="24"/>
          <w:szCs w:val="24"/>
        </w:rPr>
        <w:t>В общем капитале компании можно выделить капитал, который она получила от акционеров и своих внутренних источников в результате капитализации нераспределенной прибыли и образования соответствующих резервов.</w:t>
      </w:r>
    </w:p>
    <w:p w:rsidR="001F6333" w:rsidRDefault="001F6333">
      <w:pPr>
        <w:widowControl w:val="0"/>
        <w:spacing w:before="120"/>
        <w:ind w:firstLine="567"/>
        <w:jc w:val="both"/>
        <w:rPr>
          <w:color w:val="000000"/>
          <w:sz w:val="24"/>
          <w:szCs w:val="24"/>
        </w:rPr>
      </w:pPr>
      <w:r>
        <w:rPr>
          <w:color w:val="000000"/>
          <w:sz w:val="24"/>
          <w:szCs w:val="24"/>
        </w:rPr>
        <w:t>В соответствии с международными стандартами компания может признавать прибыль в данном отчетном периоде только при условии сохранения своего капитала. Это требование игнорировалось в России с начала реформ в 1992 г. В результате произошли повсеместное “вымывание” оборотного капитала и существенные деформации в оценке основного капитала, ведущие к утрате производственного потенциала российских фирм.</w:t>
      </w:r>
    </w:p>
    <w:p w:rsidR="001F6333" w:rsidRDefault="001F6333">
      <w:pPr>
        <w:widowControl w:val="0"/>
        <w:spacing w:before="120"/>
        <w:ind w:firstLine="567"/>
        <w:jc w:val="both"/>
        <w:rPr>
          <w:color w:val="000000"/>
          <w:sz w:val="24"/>
          <w:szCs w:val="24"/>
        </w:rPr>
      </w:pPr>
      <w:r>
        <w:rPr>
          <w:color w:val="000000"/>
          <w:sz w:val="24"/>
          <w:szCs w:val="24"/>
        </w:rPr>
        <w:t>Расходы компании подразделяются на обычные, осуществляемые для извлечения доходов, и прочие, не создающие каких-либо экономических выгод (доходов и активов) в будущем.</w:t>
      </w:r>
    </w:p>
    <w:p w:rsidR="001F6333" w:rsidRDefault="001F6333">
      <w:pPr>
        <w:widowControl w:val="0"/>
        <w:spacing w:before="120"/>
        <w:ind w:firstLine="567"/>
        <w:jc w:val="both"/>
        <w:rPr>
          <w:color w:val="000000"/>
          <w:sz w:val="24"/>
          <w:szCs w:val="24"/>
        </w:rPr>
      </w:pPr>
      <w:r>
        <w:rPr>
          <w:color w:val="000000"/>
          <w:sz w:val="24"/>
          <w:szCs w:val="24"/>
        </w:rPr>
        <w:t>Обычные расходы признаются в том отчетном периоде, в котором они возникли в виде уменьшения активов и увеличения обязательств, в прямой связи с доходами, поступившими по данным операциям. Исходя из МСФО соответствие доходов и обычных расходов должно соблюдаться неукоснительно. Если поступление доходов предусматривается в обозримом будущем, понесенные расходы включаются в активы компании. Это и капитальные вложения в основной капитал, и производственные расходы в запасах, незавершенном производстве, готовых товарах и расходы на приобретение финансовых и нематериальных активов.</w:t>
      </w:r>
    </w:p>
    <w:p w:rsidR="001F6333" w:rsidRDefault="001F6333">
      <w:pPr>
        <w:widowControl w:val="0"/>
        <w:spacing w:before="120"/>
        <w:ind w:firstLine="567"/>
        <w:jc w:val="both"/>
        <w:rPr>
          <w:color w:val="000000"/>
          <w:sz w:val="24"/>
          <w:szCs w:val="24"/>
        </w:rPr>
      </w:pPr>
      <w:r>
        <w:rPr>
          <w:color w:val="000000"/>
          <w:sz w:val="24"/>
          <w:szCs w:val="24"/>
        </w:rPr>
        <w:t>В отличие от оборотных активов стоимость долговременно применяемых внеоборотных активов повторно отражается в текущих эксплуатационных расходах путем начисления амортизации. Износ признается технической категорией и международными стандартами не рассматривается. Прочие расходы включаются в тот отчетный период, в котором выясняется, что они не могут стать причиной будущих экономических выгод или такие выгоды не очевидны и не поддаются надежной оценке.</w:t>
      </w:r>
    </w:p>
    <w:p w:rsidR="001F6333" w:rsidRDefault="001F6333">
      <w:pPr>
        <w:widowControl w:val="0"/>
        <w:spacing w:before="120"/>
        <w:ind w:firstLine="567"/>
        <w:jc w:val="both"/>
        <w:rPr>
          <w:color w:val="000000"/>
          <w:sz w:val="24"/>
          <w:szCs w:val="24"/>
        </w:rPr>
      </w:pPr>
      <w:r>
        <w:rPr>
          <w:color w:val="000000"/>
          <w:sz w:val="24"/>
          <w:szCs w:val="24"/>
        </w:rPr>
        <w:t>Затраты на НИОКР выступают как расходы компании до тех пор, пока не выявится обоснованная возможность использовать результаты этих работ для извлечения дохода в обозримом будущем. С этого момента, согласно МСФО они капитализируются и входят в активы компании. Они будут погашены путем уменьшения будущих доходов от данных исследований и разработок.</w:t>
      </w:r>
    </w:p>
    <w:p w:rsidR="001F6333" w:rsidRDefault="001F6333">
      <w:pPr>
        <w:widowControl w:val="0"/>
        <w:spacing w:before="120"/>
        <w:ind w:firstLine="567"/>
        <w:jc w:val="both"/>
        <w:rPr>
          <w:color w:val="000000"/>
          <w:sz w:val="24"/>
          <w:szCs w:val="24"/>
        </w:rPr>
      </w:pPr>
      <w:r>
        <w:rPr>
          <w:color w:val="000000"/>
          <w:sz w:val="24"/>
          <w:szCs w:val="24"/>
        </w:rPr>
        <w:t>Международные стандарты в отличие от наших рассматривают налоговые платежи как расходы компании, а не как форму распределения прибыли. Причем для компании имеет значение только чистая прибыль. Кроме того, стандарты не связывают признание расходов с правилами налогообложения на территории конкретных государств. Более того, стандарт указывает на необходимость учета отложенных налоговых требований и обязательств, возникающих из-за различий в порядке расчета налогооблагаемой базы и реальной методике учета расходов и доходов данной компании. Эти статьи характеризуют налоговые последствия, которые возникнут в следующих отчетных периодах.</w:t>
      </w:r>
    </w:p>
    <w:p w:rsidR="001F6333" w:rsidRDefault="001F6333">
      <w:pPr>
        <w:widowControl w:val="0"/>
        <w:spacing w:before="120"/>
        <w:ind w:firstLine="567"/>
        <w:jc w:val="both"/>
        <w:rPr>
          <w:color w:val="000000"/>
          <w:sz w:val="24"/>
          <w:szCs w:val="24"/>
        </w:rPr>
      </w:pPr>
      <w:r>
        <w:rPr>
          <w:color w:val="000000"/>
          <w:sz w:val="24"/>
          <w:szCs w:val="24"/>
        </w:rPr>
        <w:t>МСФО не признают убытки в качестве самостоятельного элемента финансовой отчетности. Это тоже расходы, уменьшающие в конечном итоге собственный капитал компании в результате случайных и чрезвычайных событий, а также обычных операций, по которым расходы не полностью покрываются доходами в течение отчетного периода.</w:t>
      </w:r>
    </w:p>
    <w:p w:rsidR="001F6333" w:rsidRDefault="001F6333">
      <w:pPr>
        <w:widowControl w:val="0"/>
        <w:spacing w:before="120"/>
        <w:ind w:firstLine="567"/>
        <w:jc w:val="both"/>
        <w:rPr>
          <w:color w:val="000000"/>
          <w:sz w:val="24"/>
          <w:szCs w:val="24"/>
        </w:rPr>
      </w:pPr>
      <w:r>
        <w:rPr>
          <w:color w:val="000000"/>
          <w:sz w:val="24"/>
          <w:szCs w:val="24"/>
        </w:rPr>
        <w:t>Доходы компании связаны с увеличением стоимости активов либо уменьшением обязательств или тем и другим вместе. Доходы приводят к увеличению капитала компании независимо и сверх вкладов собственников. МСФО рассматривают доходы в двух формах– как выручку и выигрыши.</w:t>
      </w:r>
    </w:p>
    <w:p w:rsidR="001F6333" w:rsidRDefault="001F6333">
      <w:pPr>
        <w:widowControl w:val="0"/>
        <w:spacing w:before="120"/>
        <w:ind w:firstLine="567"/>
        <w:jc w:val="both"/>
        <w:rPr>
          <w:color w:val="000000"/>
          <w:sz w:val="24"/>
          <w:szCs w:val="24"/>
        </w:rPr>
      </w:pPr>
      <w:r>
        <w:rPr>
          <w:color w:val="000000"/>
          <w:sz w:val="24"/>
          <w:szCs w:val="24"/>
        </w:rPr>
        <w:t>Выручка – регулярные доходы от обычной деятельности (продажи товаров и услуг, процентов, дивидендов, лицензионных платежей и роялти, арендной платы). В выручку включаются доходы от реализации недвижимости, специально купленной для перепродажи, и инвестиционной собственности, которая как объект учета в России пока не известна и обособленно не учитывается. В то же время инвестиционная собственность состоит из имущества, неподверженного обесценению, которое приобретается не для использования в финансово-хозяйственной деятельности компании, а исключительно для накопления и сохранения материального богатства. В этом качестве приобретаются престижные объекты недвижимости, дорогие произведения искусства, золото и драгоценности и т.д.</w:t>
      </w:r>
    </w:p>
    <w:p w:rsidR="001F6333" w:rsidRDefault="001F6333">
      <w:pPr>
        <w:widowControl w:val="0"/>
        <w:spacing w:before="120"/>
        <w:ind w:firstLine="567"/>
        <w:jc w:val="both"/>
        <w:rPr>
          <w:color w:val="000000"/>
          <w:sz w:val="24"/>
          <w:szCs w:val="24"/>
        </w:rPr>
      </w:pPr>
      <w:r>
        <w:rPr>
          <w:color w:val="000000"/>
          <w:sz w:val="24"/>
          <w:szCs w:val="24"/>
        </w:rPr>
        <w:t>Выигрыши – это прочие доходы, которые поступают нерегулярно и не требуют сколько-нибудь существенных расходов на их получение. К ним относятся доходы от штрафов и компенсаций, безвозмездное финансирование и субсидии, курсовые валютные разницы, разница от повышения стоимости другого имеющегося оборотного имущества и т.п.</w:t>
      </w:r>
    </w:p>
    <w:p w:rsidR="001F6333" w:rsidRDefault="001F6333">
      <w:pPr>
        <w:widowControl w:val="0"/>
        <w:spacing w:before="120"/>
        <w:ind w:firstLine="567"/>
        <w:jc w:val="both"/>
        <w:rPr>
          <w:color w:val="000000"/>
          <w:sz w:val="24"/>
          <w:szCs w:val="24"/>
        </w:rPr>
      </w:pPr>
      <w:r>
        <w:rPr>
          <w:color w:val="000000"/>
          <w:sz w:val="24"/>
          <w:szCs w:val="24"/>
        </w:rPr>
        <w:t>Количественное изменение активов, обязательств и других элементов отчетности осуществляется в денежном выражении. Международный стандарт предусматривает использование нескольких методов оценки в разной комбинации.</w:t>
      </w:r>
    </w:p>
    <w:p w:rsidR="001F6333" w:rsidRDefault="001F6333">
      <w:pPr>
        <w:widowControl w:val="0"/>
        <w:spacing w:before="120"/>
        <w:ind w:firstLine="567"/>
        <w:jc w:val="both"/>
        <w:rPr>
          <w:color w:val="000000"/>
          <w:sz w:val="24"/>
          <w:szCs w:val="24"/>
        </w:rPr>
      </w:pPr>
      <w:r>
        <w:rPr>
          <w:color w:val="000000"/>
          <w:sz w:val="24"/>
          <w:szCs w:val="24"/>
        </w:rPr>
        <w:t>Первоначальная (историческая или фактическая) стоимость– это оценка того или иного объекта учета на основе фактической суммы денежных средств, их эквивалентов, заплаченных при его приобретении с учетом транспортных и иных расходов, связанных с этой операцией, или начисленных при его изготовлении собственными силами. При неизменной покупательной способности денежной единицы, в которой выражена стоимость, этот метод является наилучшим. Но такие условия нереальны. Поэтому оценка товарно-материальных ценностей часто производится по стоимости реализации за вычетом торговых издержек или по рыночной стоимости.</w:t>
      </w:r>
    </w:p>
    <w:p w:rsidR="001F6333" w:rsidRDefault="001F6333">
      <w:pPr>
        <w:widowControl w:val="0"/>
        <w:spacing w:before="120"/>
        <w:ind w:firstLine="567"/>
        <w:jc w:val="both"/>
        <w:rPr>
          <w:color w:val="000000"/>
          <w:sz w:val="24"/>
          <w:szCs w:val="24"/>
        </w:rPr>
      </w:pPr>
      <w:r>
        <w:rPr>
          <w:color w:val="000000"/>
          <w:sz w:val="24"/>
          <w:szCs w:val="24"/>
        </w:rPr>
        <w:t>Текущая (восстановительная) стоимость равна сумме денежных средств или их эквивалентов, которую пришлось бы выплатить в данный момент при необходимости замены данного объекта материального имущества новым. Обязательства оцениваются по текущей стоимости, которая представляет собой недисконтированную сумму денежных средств, необходимых для их погашения в данный момент.</w:t>
      </w:r>
    </w:p>
    <w:p w:rsidR="001F6333" w:rsidRDefault="001F6333">
      <w:pPr>
        <w:widowControl w:val="0"/>
        <w:spacing w:before="120"/>
        <w:ind w:firstLine="567"/>
        <w:jc w:val="both"/>
        <w:rPr>
          <w:color w:val="000000"/>
          <w:sz w:val="24"/>
          <w:szCs w:val="24"/>
        </w:rPr>
      </w:pPr>
      <w:r>
        <w:rPr>
          <w:color w:val="000000"/>
          <w:sz w:val="24"/>
          <w:szCs w:val="24"/>
        </w:rPr>
        <w:t>Справедливая стоимость международным стандартом определяется как сумма денежных средств, достаточная для приобретения актива или исполнения обязательств при совершении сделки между хорошо осведомленными, желающими совершить такую сделку, независимыми друг от друга сторонами. Такое определение идеализировано, и практическое определение ее, по сути, невозможно, хотя международные организации и настаивают на применении этого метода оценки. Рыночная стоимость– сумма денежных средств, которая может быть получена при продаже или должна быть уплачена при приобретении финансового инструмента или другого актива.</w:t>
      </w:r>
    </w:p>
    <w:p w:rsidR="001F6333" w:rsidRDefault="001F6333">
      <w:pPr>
        <w:widowControl w:val="0"/>
        <w:spacing w:before="120"/>
        <w:ind w:firstLine="567"/>
        <w:jc w:val="both"/>
        <w:rPr>
          <w:color w:val="000000"/>
          <w:sz w:val="24"/>
          <w:szCs w:val="24"/>
        </w:rPr>
      </w:pPr>
      <w:r>
        <w:rPr>
          <w:color w:val="000000"/>
          <w:sz w:val="24"/>
          <w:szCs w:val="24"/>
        </w:rPr>
        <w:t>Стоимость реализации (погашения), или чистая продажная цена – это сумма, которая может быть получена от продажи актива при совершении сделки между хорошо осведомленными, желающими ее осуществить сторонами за вычетом затрат на выбытие, т.е. торговых издержек.</w:t>
      </w:r>
    </w:p>
    <w:p w:rsidR="001F6333" w:rsidRDefault="001F6333">
      <w:pPr>
        <w:widowControl w:val="0"/>
        <w:spacing w:before="120"/>
        <w:ind w:firstLine="567"/>
        <w:jc w:val="both"/>
        <w:rPr>
          <w:color w:val="000000"/>
          <w:sz w:val="24"/>
          <w:szCs w:val="24"/>
        </w:rPr>
      </w:pPr>
      <w:r>
        <w:rPr>
          <w:color w:val="000000"/>
          <w:sz w:val="24"/>
          <w:szCs w:val="24"/>
        </w:rPr>
        <w:t>Наконец, элементом оценки финансовых инструментов может быть текущая дисконтированная стоимость. Она представляет собой дисконтированную величину будущих денежных поступлений, которые может принести реализация данного актива в ходе обычной коммерческой операции. Обязательства оцениваются по дисконтированной стоимости будущего оттока денежных средств, который потребуется для погашения обязательств при нормальной хозяйственной ситуации. Дисконтирование стоимости основано на реально существующем положении, что некоторая сумма денег сегодня стоит больше, чем в будущем, из-за того, что она может быть использована для получения дохода в виде процентов.</w:t>
      </w:r>
    </w:p>
    <w:p w:rsidR="001F6333" w:rsidRDefault="001F6333">
      <w:pPr>
        <w:widowControl w:val="0"/>
        <w:spacing w:before="120"/>
        <w:jc w:val="center"/>
        <w:rPr>
          <w:b/>
          <w:bCs/>
          <w:color w:val="000000"/>
          <w:sz w:val="28"/>
          <w:szCs w:val="28"/>
        </w:rPr>
      </w:pPr>
      <w:r>
        <w:rPr>
          <w:b/>
          <w:bCs/>
          <w:color w:val="000000"/>
          <w:sz w:val="28"/>
          <w:szCs w:val="28"/>
        </w:rPr>
        <w:t>Инвестиции и финансовые инструменты</w:t>
      </w:r>
    </w:p>
    <w:p w:rsidR="001F6333" w:rsidRDefault="001F6333">
      <w:pPr>
        <w:widowControl w:val="0"/>
        <w:spacing w:before="120"/>
        <w:ind w:firstLine="567"/>
        <w:jc w:val="both"/>
        <w:rPr>
          <w:color w:val="000000"/>
          <w:sz w:val="24"/>
          <w:szCs w:val="24"/>
        </w:rPr>
      </w:pPr>
      <w:r>
        <w:rPr>
          <w:color w:val="000000"/>
          <w:sz w:val="24"/>
          <w:szCs w:val="24"/>
        </w:rPr>
        <w:t>Комитет по международным стандартам финансовой отчетности придает большое значение проблемам, связанным с инвестициями, и совершенствованию финансового инструментария в этой сфере. Об этом свидетельствует простой перечень международных стандартов: “Учет инвестиций”, “Сводная финансовая отчетность и учет инвестиций в дочерние компании”, “Учет инвестиций в ассоциированные компании”, “Финансовая отчетность об участии в совместной деятельности” и т.д. Согласно этим документам “инвестиции – это активы, которые компания держит в целях увеличения богатства через распределение (в форме процента, роялти, дивиденда, арендной платы), повышения стоимости капитала или получения инвестирующей компанией других выгод, например, таких же, которые достигаются через долговременные деловые взаимоотношения”.</w:t>
      </w:r>
    </w:p>
    <w:p w:rsidR="001F6333" w:rsidRDefault="001F6333">
      <w:pPr>
        <w:widowControl w:val="0"/>
        <w:spacing w:before="120"/>
        <w:ind w:firstLine="567"/>
        <w:jc w:val="both"/>
        <w:rPr>
          <w:color w:val="000000"/>
          <w:sz w:val="24"/>
          <w:szCs w:val="24"/>
        </w:rPr>
      </w:pPr>
      <w:r>
        <w:rPr>
          <w:color w:val="000000"/>
          <w:sz w:val="24"/>
          <w:szCs w:val="24"/>
        </w:rPr>
        <w:t>Одним из последствий инвестиций является установление контроля над компаниями– объектами капвложений. Поэтому международные стандарты предписывают составлять сводную финансовую отчетность, включающую все дочерние компании, контролируемые материнской фирмой. Сводная финансовая отчетность представляет информацию о группе консолидированных компаний как о единой, с выделением доли меньшинства в чистых активах и финансовых результатах группы.</w:t>
      </w:r>
    </w:p>
    <w:p w:rsidR="001F6333" w:rsidRDefault="001F6333">
      <w:pPr>
        <w:widowControl w:val="0"/>
        <w:spacing w:before="120"/>
        <w:ind w:firstLine="567"/>
        <w:jc w:val="both"/>
        <w:rPr>
          <w:color w:val="000000"/>
          <w:sz w:val="24"/>
          <w:szCs w:val="24"/>
        </w:rPr>
      </w:pPr>
      <w:r>
        <w:rPr>
          <w:color w:val="000000"/>
          <w:sz w:val="24"/>
          <w:szCs w:val="24"/>
        </w:rPr>
        <w:t>Объединение компаний определяется в форме покупки компании, обратной покупки и объединения интересов. При покупке компании покупатель целиком поглощает ее, включая все активы и обязательства в свой баланс и оставляя купленное предприятие действовать на правах филиала, а не дочерней компании.</w:t>
      </w:r>
    </w:p>
    <w:p w:rsidR="001F6333" w:rsidRDefault="001F6333">
      <w:pPr>
        <w:widowControl w:val="0"/>
        <w:spacing w:before="120"/>
        <w:ind w:firstLine="567"/>
        <w:jc w:val="both"/>
        <w:rPr>
          <w:color w:val="000000"/>
          <w:sz w:val="24"/>
          <w:szCs w:val="24"/>
        </w:rPr>
      </w:pPr>
      <w:r>
        <w:rPr>
          <w:color w:val="000000"/>
          <w:sz w:val="24"/>
          <w:szCs w:val="24"/>
        </w:rPr>
        <w:t>Обратная покупка заключается в форме сделки, когда одна компания приобретает пакет акций другой компании, но в то же время в порядке обмена выпускает такое количество своих акций с правом голоса в качестве возмещения, что контроль над объединенной компанией переходит к владельцам проданной фирмы.</w:t>
      </w:r>
    </w:p>
    <w:p w:rsidR="001F6333" w:rsidRDefault="001F6333">
      <w:pPr>
        <w:widowControl w:val="0"/>
        <w:spacing w:before="120"/>
        <w:ind w:firstLine="567"/>
        <w:jc w:val="both"/>
        <w:rPr>
          <w:color w:val="000000"/>
          <w:sz w:val="24"/>
          <w:szCs w:val="24"/>
        </w:rPr>
      </w:pPr>
      <w:r>
        <w:rPr>
          <w:color w:val="000000"/>
          <w:sz w:val="24"/>
          <w:szCs w:val="24"/>
        </w:rPr>
        <w:t>Объединение интересов происходит тогда, когда такое объединение не может быть квалифицировано как покупка или продажа и ведет к образованию единой компании, сохраняющей разделение рисков и интересов, существовавших до объединения. Слияние компаний производится путем консолидации их балансов с обменом акций, выпущенных до слияния, на акции объединенной компании. Международные стандарты предусматривают два метода учета этого процесса – принятием во внимание слияния капиталов и слияния имущества.</w:t>
      </w:r>
    </w:p>
    <w:p w:rsidR="001F6333" w:rsidRDefault="001F6333">
      <w:pPr>
        <w:widowControl w:val="0"/>
        <w:spacing w:before="120"/>
        <w:ind w:firstLine="567"/>
        <w:jc w:val="both"/>
        <w:rPr>
          <w:color w:val="000000"/>
          <w:sz w:val="24"/>
          <w:szCs w:val="24"/>
        </w:rPr>
      </w:pPr>
      <w:r>
        <w:rPr>
          <w:color w:val="000000"/>
          <w:sz w:val="24"/>
          <w:szCs w:val="24"/>
        </w:rPr>
        <w:t>Инвестиции в ассоциированные компании отличаются от инвестиций в дочерние фирмы тем, что инвестор существенно влияет на ассоциированную организацию, но не может признать ее дочерней или совместной по объективным обстоятельствам. В этом случае инвестиции в отчете инвестора отражаются по методу долевого участия: сумма инвестиций первоначально записывается по себестоимости, и их балансовая стоимость увеличивается (или уменьшается) на признанную долю инвестора в прибылях и убытках объекта инвестиций.</w:t>
      </w:r>
    </w:p>
    <w:p w:rsidR="001F6333" w:rsidRDefault="001F6333">
      <w:pPr>
        <w:widowControl w:val="0"/>
        <w:spacing w:before="120"/>
        <w:ind w:firstLine="567"/>
        <w:jc w:val="both"/>
        <w:rPr>
          <w:color w:val="000000"/>
          <w:sz w:val="24"/>
          <w:szCs w:val="24"/>
        </w:rPr>
      </w:pPr>
      <w:r>
        <w:rPr>
          <w:color w:val="000000"/>
          <w:sz w:val="24"/>
          <w:szCs w:val="24"/>
        </w:rPr>
        <w:t>Инвестиции в совместную деятельность определяются более широко, чем это принято в российской практике. Она рассматривается в трех формах – совместно контролируемые операции, совместно контролируемые активы (аналог российского договора простого товарищества), совместно контролируемые предприятия. В первом случае каждая компания ведет раздельный учет совершенных операций, в последнем – имущество СП включается в финансовую отчетность участника путем пропорционального сведения данных о доле каждого участника.</w:t>
      </w:r>
    </w:p>
    <w:p w:rsidR="001F6333" w:rsidRDefault="001F6333">
      <w:pPr>
        <w:widowControl w:val="0"/>
        <w:spacing w:before="120"/>
        <w:ind w:firstLine="567"/>
        <w:jc w:val="both"/>
        <w:rPr>
          <w:color w:val="000000"/>
          <w:sz w:val="24"/>
          <w:szCs w:val="24"/>
        </w:rPr>
      </w:pPr>
      <w:r>
        <w:rPr>
          <w:color w:val="000000"/>
          <w:sz w:val="24"/>
          <w:szCs w:val="24"/>
        </w:rPr>
        <w:t>Тенденция глобализации финансовых рынков вызвала к жизни разработку стандартов по учету финансовых инструментов, которые устанавливают для коммерческих компаний порядок признания, оценки и раскрытия информации о применяемых ими финансовых инструментах, включая сведения о хеджировании. Все финансовые активы и обязательства, в том числе производные финансовые инструменты (опционы, фьючерсы и т.п.), должны указываться в балансе. Все исключения, разрешавшиеся в прошлом, запрещены, что улучшает надежность информации о финансовом положении компаний.</w:t>
      </w:r>
    </w:p>
    <w:p w:rsidR="001F6333" w:rsidRDefault="001F6333">
      <w:pPr>
        <w:widowControl w:val="0"/>
        <w:spacing w:before="120"/>
        <w:ind w:firstLine="567"/>
        <w:jc w:val="both"/>
        <w:rPr>
          <w:color w:val="000000"/>
          <w:sz w:val="24"/>
          <w:szCs w:val="24"/>
        </w:rPr>
      </w:pPr>
      <w:r>
        <w:rPr>
          <w:color w:val="000000"/>
          <w:sz w:val="24"/>
          <w:szCs w:val="24"/>
        </w:rPr>
        <w:t>Международные стандарты обеспечивают прозрачную информацию о деятельности любой компании. Они требуют давать сведения о существенных ошибках, допущенных в отчетности, представленной в предыдущие годы, и их влиянии на показатели нынешней деятельности, раскрывать причины и содержание изменений в учетной политике. В пояснительных записках необходимо также предоставлять информацию о связанных сторонах, к которым, в частности, относятся:</w:t>
      </w:r>
    </w:p>
    <w:p w:rsidR="001F6333" w:rsidRDefault="001F6333">
      <w:pPr>
        <w:widowControl w:val="0"/>
        <w:spacing w:before="120"/>
        <w:ind w:firstLine="567"/>
        <w:jc w:val="both"/>
        <w:rPr>
          <w:color w:val="000000"/>
          <w:sz w:val="24"/>
          <w:szCs w:val="24"/>
        </w:rPr>
      </w:pPr>
      <w:r>
        <w:rPr>
          <w:color w:val="000000"/>
          <w:sz w:val="24"/>
          <w:szCs w:val="24"/>
        </w:rPr>
        <w:t xml:space="preserve"> ассоциированные компании;</w:t>
      </w:r>
    </w:p>
    <w:p w:rsidR="001F6333" w:rsidRDefault="001F6333">
      <w:pPr>
        <w:widowControl w:val="0"/>
        <w:spacing w:before="120"/>
        <w:ind w:firstLine="567"/>
        <w:jc w:val="both"/>
        <w:rPr>
          <w:color w:val="000000"/>
          <w:sz w:val="24"/>
          <w:szCs w:val="24"/>
        </w:rPr>
      </w:pPr>
      <w:r>
        <w:rPr>
          <w:color w:val="000000"/>
          <w:sz w:val="24"/>
          <w:szCs w:val="24"/>
        </w:rPr>
        <w:t>компании, прямо или косвенно контролирующие другие фирмы или находящиеся под общим контролем;</w:t>
      </w:r>
    </w:p>
    <w:p w:rsidR="001F6333" w:rsidRDefault="001F6333">
      <w:pPr>
        <w:widowControl w:val="0"/>
        <w:spacing w:before="120"/>
        <w:ind w:firstLine="567"/>
        <w:jc w:val="both"/>
        <w:rPr>
          <w:color w:val="000000"/>
          <w:sz w:val="24"/>
          <w:szCs w:val="24"/>
        </w:rPr>
      </w:pPr>
      <w:r>
        <w:rPr>
          <w:color w:val="000000"/>
          <w:sz w:val="24"/>
          <w:szCs w:val="24"/>
        </w:rPr>
        <w:t>частные, владеющие пакетами акций, влияющих на компанию, и их ближайшие родственники;</w:t>
      </w:r>
    </w:p>
    <w:p w:rsidR="001F6333" w:rsidRDefault="001F6333">
      <w:pPr>
        <w:widowControl w:val="0"/>
        <w:spacing w:before="120"/>
        <w:ind w:firstLine="567"/>
        <w:jc w:val="both"/>
        <w:rPr>
          <w:color w:val="000000"/>
          <w:sz w:val="24"/>
          <w:szCs w:val="24"/>
        </w:rPr>
      </w:pPr>
      <w:r>
        <w:rPr>
          <w:color w:val="000000"/>
          <w:sz w:val="24"/>
          <w:szCs w:val="24"/>
        </w:rPr>
        <w:t>директора и ключевой управленческий персонал, их ближайшие родственники;</w:t>
      </w:r>
    </w:p>
    <w:p w:rsidR="001F6333" w:rsidRDefault="001F6333">
      <w:pPr>
        <w:widowControl w:val="0"/>
        <w:spacing w:before="120"/>
        <w:ind w:firstLine="567"/>
        <w:jc w:val="both"/>
        <w:rPr>
          <w:color w:val="000000"/>
          <w:sz w:val="24"/>
          <w:szCs w:val="24"/>
        </w:rPr>
      </w:pPr>
      <w:r>
        <w:rPr>
          <w:color w:val="000000"/>
          <w:sz w:val="24"/>
          <w:szCs w:val="24"/>
        </w:rPr>
        <w:t>компании, в которых значительный пакет голосующих акций принадлежит директорам, ключевому управленческому персоналу, ключевым акционерам или лицам, на которых они могут значительно влиять.</w:t>
      </w:r>
    </w:p>
    <w:p w:rsidR="001F6333" w:rsidRDefault="001F6333">
      <w:pPr>
        <w:widowControl w:val="0"/>
        <w:spacing w:before="120"/>
        <w:jc w:val="center"/>
        <w:rPr>
          <w:b/>
          <w:bCs/>
          <w:color w:val="000000"/>
          <w:sz w:val="28"/>
          <w:szCs w:val="28"/>
        </w:rPr>
      </w:pPr>
      <w:r>
        <w:rPr>
          <w:b/>
          <w:bCs/>
          <w:color w:val="000000"/>
          <w:sz w:val="28"/>
          <w:szCs w:val="28"/>
        </w:rPr>
        <w:t>Перспективы для России</w:t>
      </w:r>
    </w:p>
    <w:p w:rsidR="001F6333" w:rsidRDefault="001F6333">
      <w:pPr>
        <w:widowControl w:val="0"/>
        <w:spacing w:before="120"/>
        <w:ind w:firstLine="567"/>
        <w:jc w:val="both"/>
        <w:rPr>
          <w:color w:val="000000"/>
          <w:sz w:val="24"/>
          <w:szCs w:val="24"/>
        </w:rPr>
      </w:pPr>
      <w:r>
        <w:rPr>
          <w:color w:val="000000"/>
          <w:sz w:val="24"/>
          <w:szCs w:val="24"/>
        </w:rPr>
        <w:t>В марте 1998 г. правительство РФ приняло решение о реформировании бухгалтерского учета в соответствии с международными стандартами. Уже утверждены 10 стандартов. Однако новые национальные стандарты и действующий план счетов не позволяют составлять финансовую отчетность в полном соответствии с МСФО (для большинства организаций она и не требуется). Это обязаны делать компании, входящие в листинг на мировых фондовых биржах или планирующие продвижение на мировые фондовые рынки своих финансовых инструментов.</w:t>
      </w:r>
    </w:p>
    <w:p w:rsidR="001F6333" w:rsidRDefault="001F6333">
      <w:pPr>
        <w:widowControl w:val="0"/>
        <w:spacing w:before="120"/>
        <w:ind w:firstLine="567"/>
        <w:jc w:val="both"/>
        <w:rPr>
          <w:color w:val="000000"/>
          <w:sz w:val="24"/>
          <w:szCs w:val="24"/>
        </w:rPr>
      </w:pPr>
      <w:r>
        <w:rPr>
          <w:color w:val="000000"/>
          <w:sz w:val="24"/>
          <w:szCs w:val="24"/>
        </w:rPr>
        <w:t>В 1999 г. Министерство финансов РФ разрешило таким компаниям представлять сводную финансовую отчетность консолидированной группы организаций в полном соответствии с МСФО и не составлять ее по российским стандартам и правилам. Но воспользоваться такой льготой невозможно, так как применяемый в РФ сокращенный план счетов бухгалтерского учета не позволяет получить идентифицированную развернутую информацию по методике МСФО. Поэтому компании составляют отчеты по российским правилам, а затем прибегают к дорогостоящим услугам иностранных аудиторских фирм для трансформации этой отчетности на мировые стандарты. Но и таким образом добиться необходимой прозрачности не удается из-за нехватки учетной информации. В результате российские компании на мировых фондовых рынках оказываются в неравных условиях с другими компаниями, сталкиваются с неоправданными трудностями в отношениях с инвесторами.</w:t>
      </w:r>
    </w:p>
    <w:p w:rsidR="001F6333" w:rsidRDefault="001F6333">
      <w:pPr>
        <w:widowControl w:val="0"/>
        <w:spacing w:before="120"/>
        <w:ind w:firstLine="567"/>
        <w:jc w:val="both"/>
        <w:rPr>
          <w:color w:val="000000"/>
          <w:sz w:val="24"/>
          <w:szCs w:val="24"/>
        </w:rPr>
      </w:pPr>
      <w:r>
        <w:rPr>
          <w:color w:val="000000"/>
          <w:sz w:val="24"/>
          <w:szCs w:val="24"/>
        </w:rPr>
        <w:t>В России около 200 крупных компаний и холдингов, и многие из них являются транснациональными. Вместе с дочерними фирмами и другими отдельными организациями их число вряд ли превышает 2,5 – 3 тыс. Поэтому, думается, можно разрешить данным компаниям составлять финансовую отчетность только по методике МСФО.</w:t>
      </w:r>
    </w:p>
    <w:p w:rsidR="001F6333" w:rsidRDefault="001F6333">
      <w:pPr>
        <w:widowControl w:val="0"/>
        <w:spacing w:before="120"/>
        <w:ind w:firstLine="567"/>
        <w:jc w:val="both"/>
        <w:rPr>
          <w:color w:val="000000"/>
          <w:sz w:val="24"/>
          <w:szCs w:val="24"/>
        </w:rPr>
      </w:pPr>
      <w:r>
        <w:rPr>
          <w:color w:val="000000"/>
          <w:sz w:val="24"/>
          <w:szCs w:val="24"/>
        </w:rPr>
        <w:t>Наиболее крупным препятствием для ведения учета в полном соответствии с МСФО является несовершенный, устаревший план счетов, приятый еще в 1959 г. и не претерпевший значительных изменений при переходе к рыночным отношениям.</w:t>
      </w:r>
    </w:p>
    <w:p w:rsidR="001F6333" w:rsidRDefault="001F6333">
      <w:pPr>
        <w:widowControl w:val="0"/>
        <w:spacing w:before="120"/>
        <w:ind w:firstLine="567"/>
        <w:jc w:val="both"/>
        <w:rPr>
          <w:color w:val="000000"/>
          <w:sz w:val="24"/>
          <w:szCs w:val="24"/>
        </w:rPr>
      </w:pPr>
      <w:r>
        <w:rPr>
          <w:color w:val="000000"/>
          <w:sz w:val="24"/>
          <w:szCs w:val="24"/>
        </w:rPr>
        <w:t xml:space="preserve">В России, как и в других странах, существует немного организаций, заинтересованных в предоставлении отчетов, полностью отвечающих МСФО или национальным принципам учета США. Но те организации, которые хотят составлять такую отчетность, должны получить на это полное право по мере созревания необходимых условий и потребностей. </w:t>
      </w:r>
    </w:p>
    <w:p w:rsidR="001F6333" w:rsidRDefault="001F6333">
      <w:pPr>
        <w:widowControl w:val="0"/>
        <w:spacing w:before="120"/>
        <w:jc w:val="center"/>
        <w:rPr>
          <w:b/>
          <w:bCs/>
          <w:color w:val="000000"/>
          <w:sz w:val="28"/>
          <w:szCs w:val="28"/>
        </w:rPr>
      </w:pPr>
      <w:r>
        <w:rPr>
          <w:b/>
          <w:bCs/>
          <w:color w:val="000000"/>
          <w:sz w:val="28"/>
          <w:szCs w:val="28"/>
        </w:rPr>
        <w:t>Список литературы</w:t>
      </w:r>
    </w:p>
    <w:p w:rsidR="001F6333" w:rsidRDefault="001F6333">
      <w:pPr>
        <w:widowControl w:val="0"/>
        <w:spacing w:before="120"/>
        <w:ind w:firstLine="567"/>
        <w:jc w:val="both"/>
        <w:rPr>
          <w:color w:val="000000"/>
          <w:sz w:val="24"/>
          <w:szCs w:val="24"/>
        </w:rPr>
      </w:pPr>
      <w:r>
        <w:rPr>
          <w:color w:val="000000"/>
          <w:sz w:val="24"/>
          <w:szCs w:val="24"/>
        </w:rPr>
        <w:t xml:space="preserve">Виталий Палий, доктор экономических наук, профессор, главный консультант ЗАО "Союзаудит" (Россия). Международные стандарты отчетности – условие прозрачного управления предприятием </w:t>
      </w:r>
    </w:p>
    <w:p w:rsidR="001F6333" w:rsidRDefault="001F6333">
      <w:pPr>
        <w:widowControl w:val="0"/>
        <w:spacing w:before="120"/>
        <w:ind w:firstLine="590"/>
        <w:jc w:val="both"/>
        <w:rPr>
          <w:color w:val="000000"/>
          <w:sz w:val="24"/>
          <w:szCs w:val="24"/>
        </w:rPr>
      </w:pPr>
      <w:bookmarkStart w:id="0" w:name="_GoBack"/>
      <w:bookmarkEnd w:id="0"/>
    </w:p>
    <w:sectPr w:rsidR="001F633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20B"/>
    <w:rsid w:val="001F6333"/>
    <w:rsid w:val="0052761F"/>
    <w:rsid w:val="00C4720B"/>
    <w:rsid w:val="00C717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4E4BC6-9A19-451C-B20D-D192E4F1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13984</Words>
  <Characters>7971</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Международные стандарты отчетности – условие прозрачного управления предприятием </vt:lpstr>
    </vt:vector>
  </TitlesOfParts>
  <Company>PERSONAL COMPUTERS</Company>
  <LinksUpToDate>false</LinksUpToDate>
  <CharactersWithSpaces>21912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стандарты отчетности – условие прозрачного управления предприятием </dc:title>
  <dc:subject/>
  <dc:creator>USER</dc:creator>
  <cp:keywords/>
  <dc:description/>
  <cp:lastModifiedBy>admin</cp:lastModifiedBy>
  <cp:revision>2</cp:revision>
  <dcterms:created xsi:type="dcterms:W3CDTF">2014-01-26T18:05:00Z</dcterms:created>
  <dcterms:modified xsi:type="dcterms:W3CDTF">2014-01-26T18:05:00Z</dcterms:modified>
</cp:coreProperties>
</file>