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1A" w:rsidRPr="00C06811" w:rsidRDefault="00C06811" w:rsidP="00C06811">
      <w:pPr>
        <w:pStyle w:val="afc"/>
        <w:rPr>
          <w:snapToGrid w:val="0"/>
        </w:rPr>
      </w:pPr>
      <w:r>
        <w:t>Оглавление</w:t>
      </w:r>
    </w:p>
    <w:p w:rsidR="00C06811" w:rsidRDefault="00C06811" w:rsidP="00C06811">
      <w:pPr>
        <w:ind w:firstLine="709"/>
      </w:pP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Введение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Глава 1. Углубление кризиса в Польше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Глава 2. Стабилизационные программы Польши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2.1 Программа реформ в 1990-1995 годов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2.2 Структурные реформы, либерализация и приватизация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2.3 Результаты "шоковой терапии"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Глава 3. Современная Польша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3.1 Национальный план развития на 2004 - 2006 гг.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3.2 Экономика Польши в 2006-2008 годах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Заключение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Список использованных источников и литературы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Приложение 1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Приложение 2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Приложение 3</w:t>
      </w:r>
    </w:p>
    <w:p w:rsidR="00C06811" w:rsidRDefault="00C06811">
      <w:pPr>
        <w:pStyle w:val="21"/>
        <w:rPr>
          <w:smallCaps w:val="0"/>
          <w:noProof/>
          <w:sz w:val="24"/>
          <w:szCs w:val="24"/>
        </w:rPr>
      </w:pPr>
      <w:r w:rsidRPr="00DE157A">
        <w:rPr>
          <w:rStyle w:val="af3"/>
          <w:noProof/>
        </w:rPr>
        <w:t>Приложение 4</w:t>
      </w:r>
    </w:p>
    <w:p w:rsidR="00C06811" w:rsidRDefault="00C06811" w:rsidP="00C06811">
      <w:pPr>
        <w:ind w:firstLine="709"/>
      </w:pPr>
    </w:p>
    <w:p w:rsidR="00C06811" w:rsidRPr="00C06811" w:rsidRDefault="00C06811" w:rsidP="00C06811">
      <w:pPr>
        <w:pStyle w:val="2"/>
      </w:pPr>
      <w:r>
        <w:br w:type="page"/>
      </w:r>
      <w:bookmarkStart w:id="0" w:name="_Toc256627445"/>
      <w:r>
        <w:t>Введение</w:t>
      </w:r>
      <w:bookmarkEnd w:id="0"/>
    </w:p>
    <w:p w:rsidR="00C06811" w:rsidRDefault="00C06811" w:rsidP="00C06811">
      <w:pPr>
        <w:ind w:firstLine="709"/>
      </w:pPr>
    </w:p>
    <w:p w:rsidR="00C06811" w:rsidRDefault="00D53C7E" w:rsidP="00C06811">
      <w:pPr>
        <w:ind w:firstLine="709"/>
      </w:pPr>
      <w:r w:rsidRPr="00C06811">
        <w:t>Польша была первой из стран с плановой экономикой, приступившей к реализации полноценной программы экономических преобразований в конце 1989 г</w:t>
      </w:r>
      <w:r w:rsidR="00305CF6" w:rsidRPr="00C06811">
        <w:t>ода</w:t>
      </w:r>
      <w:r w:rsidR="00C06811" w:rsidRPr="00C06811">
        <w:t xml:space="preserve">. </w:t>
      </w:r>
      <w:r w:rsidRPr="00C06811">
        <w:t>Ухудшение экономического положения Польши, как и других социалистических стран, произошло в результате краха системы централизованного планирования</w:t>
      </w:r>
      <w:r w:rsidR="00C06811" w:rsidRPr="00C06811">
        <w:t xml:space="preserve">. </w:t>
      </w:r>
      <w:r w:rsidRPr="00C06811">
        <w:t>Первая стабилизационная программа 1990 г</w:t>
      </w:r>
      <w:r w:rsidR="00305CF6" w:rsidRPr="00C06811">
        <w:t>ода</w:t>
      </w:r>
      <w:r w:rsidR="00C06811">
        <w:t xml:space="preserve"> ("</w:t>
      </w:r>
      <w:r w:rsidRPr="00C06811">
        <w:t>План Бальцеровича</w:t>
      </w:r>
      <w:r w:rsidR="00C06811">
        <w:t>"</w:t>
      </w:r>
      <w:r w:rsidR="00C06811" w:rsidRPr="00C06811">
        <w:t xml:space="preserve">) </w:t>
      </w:r>
      <w:r w:rsidRPr="00C06811">
        <w:t>и последующие программы в основном разработало правительство Польши, и они были поддержаны парламентом</w:t>
      </w:r>
      <w:r w:rsidR="00C06811" w:rsidRPr="00C06811">
        <w:t xml:space="preserve">. </w:t>
      </w:r>
      <w:r w:rsidRPr="00C06811">
        <w:t>Радикальность польских реформ заключалась в проведении жесткой фискальной политики посредством фиксирования валютного курса и введения прогрессивной ставки налогообложения, которые должны были смягчить гиперинфляционные ожидания</w:t>
      </w:r>
      <w:r w:rsidR="00C06811" w:rsidRPr="00C06811">
        <w:t xml:space="preserve">. </w:t>
      </w:r>
      <w:r w:rsidRPr="00C06811">
        <w:t>Дополнительно к пакету мер по макроэкономической стабилизации были проведены структурные реформы, включавшие в себя либерализацию внутренней и внешней экономической деятельности и приватизацию государственных компаний</w:t>
      </w:r>
      <w:r w:rsidR="00C06811" w:rsidRPr="00C06811">
        <w:t xml:space="preserve">. </w:t>
      </w:r>
      <w:r w:rsidRPr="00C06811">
        <w:t>Польша стала первой из стран Центральной и Восточной Европы, а также стран бывшего СССР, чья экономическая программа была поддержана Международным валютным фондом</w:t>
      </w:r>
      <w:r w:rsidR="00C06811" w:rsidRPr="00C06811">
        <w:t xml:space="preserve">. </w:t>
      </w:r>
      <w:r w:rsidRPr="00C06811">
        <w:t>Роль международных финансовых организаций и правительств иностранных государств состояла в финансовой поддержке деятельности правительства Польши, направленной на достижение оговоренных с ними целей</w:t>
      </w:r>
      <w:r w:rsidR="00C06811" w:rsidRPr="00C06811">
        <w:t xml:space="preserve">. </w:t>
      </w:r>
      <w:r w:rsidRPr="00C06811">
        <w:t>В целом относительный успех польских реформ очевиден, как очевидна и необходимость дальнейших серьезных структурных изменений в экономике, особенно в сфере государственных финансов</w:t>
      </w:r>
      <w:r w:rsidR="00C06811" w:rsidRPr="00C06811">
        <w:t>.</w:t>
      </w:r>
    </w:p>
    <w:p w:rsidR="00C06811" w:rsidRDefault="000C3871" w:rsidP="00C06811">
      <w:pPr>
        <w:ind w:firstLine="709"/>
      </w:pPr>
      <w:r w:rsidRPr="00C06811">
        <w:t>Актуальность данной темы подтверждается тем, что наряду с другими радикальными экономическими реформами в разных странах существуют одновременно и неотложная необходимость исправить ситуацию в стране</w:t>
      </w:r>
      <w:r w:rsidR="00C06811" w:rsidRPr="00C06811">
        <w:t>.</w:t>
      </w:r>
    </w:p>
    <w:p w:rsidR="00C06811" w:rsidRDefault="008426BA" w:rsidP="00C06811">
      <w:pPr>
        <w:ind w:firstLine="709"/>
      </w:pPr>
      <w:r w:rsidRPr="00C06811">
        <w:t>Целью данной курсовой работы является рассмотрение экономических реформ,</w:t>
      </w:r>
      <w:r w:rsidR="00EC3446" w:rsidRPr="00C06811">
        <w:t xml:space="preserve"> </w:t>
      </w:r>
      <w:r w:rsidRPr="00C06811">
        <w:t xml:space="preserve">проводимых в ходе мирового развития и трансформации </w:t>
      </w:r>
      <w:r w:rsidR="006B5D17" w:rsidRPr="00C06811">
        <w:t>Польши</w:t>
      </w:r>
      <w:r w:rsidRPr="00C06811">
        <w:t xml:space="preserve"> в</w:t>
      </w:r>
      <w:r w:rsidR="003D5D45" w:rsidRPr="00C06811">
        <w:t xml:space="preserve"> </w:t>
      </w:r>
      <w:r w:rsidRPr="00C06811">
        <w:t xml:space="preserve">мировом </w:t>
      </w:r>
      <w:r w:rsidR="00395F6E" w:rsidRPr="00C06811">
        <w:t>хозяйстве, а также</w:t>
      </w:r>
      <w:r w:rsidRPr="00C06811">
        <w:t xml:space="preserve"> модернизации, итогов проведенных реформ и</w:t>
      </w:r>
      <w:r w:rsidR="00EC3446" w:rsidRPr="00C06811">
        <w:t xml:space="preserve"> </w:t>
      </w:r>
      <w:r w:rsidRPr="00C06811">
        <w:t>перспектив дальнейшего развития стран</w:t>
      </w:r>
      <w:r w:rsidR="00C06811" w:rsidRPr="00C06811">
        <w:t>.</w:t>
      </w:r>
    </w:p>
    <w:p w:rsidR="00C06811" w:rsidRDefault="003D5D45" w:rsidP="00C06811">
      <w:pPr>
        <w:ind w:firstLine="709"/>
      </w:pPr>
      <w:r w:rsidRPr="00C06811">
        <w:t>Цель данной работы определила и характер задач</w:t>
      </w:r>
      <w:r w:rsidR="00C06811" w:rsidRPr="00C06811">
        <w:t>:</w:t>
      </w:r>
    </w:p>
    <w:p w:rsidR="00C06811" w:rsidRDefault="0099232C" w:rsidP="00C06811">
      <w:pPr>
        <w:ind w:firstLine="709"/>
      </w:pPr>
      <w:r w:rsidRPr="00C06811">
        <w:t>рассмотре</w:t>
      </w:r>
      <w:r w:rsidR="00EC6122" w:rsidRPr="00C06811">
        <w:t>ть причины необходимости проведения экономических реформ</w:t>
      </w:r>
      <w:r w:rsidR="00C06811" w:rsidRPr="00C06811">
        <w:t>;</w:t>
      </w:r>
    </w:p>
    <w:p w:rsidR="00C06811" w:rsidRDefault="00EC6122" w:rsidP="00C06811">
      <w:pPr>
        <w:ind w:firstLine="709"/>
      </w:pPr>
      <w:r w:rsidRPr="00C06811">
        <w:t>подвести итоги экономических реформ Польши</w:t>
      </w:r>
      <w:r w:rsidR="00C06811" w:rsidRPr="00C06811">
        <w:t>;</w:t>
      </w:r>
    </w:p>
    <w:p w:rsidR="00C06811" w:rsidRDefault="00EC6122" w:rsidP="00C06811">
      <w:pPr>
        <w:ind w:firstLine="709"/>
      </w:pPr>
      <w:r w:rsidRPr="00C06811">
        <w:t>дать оценку современной экономики Польши</w:t>
      </w:r>
      <w:r w:rsidR="00C06811" w:rsidRPr="00C06811">
        <w:t>.</w:t>
      </w:r>
    </w:p>
    <w:p w:rsidR="00C06811" w:rsidRDefault="000C3871" w:rsidP="00C06811">
      <w:pPr>
        <w:ind w:firstLine="709"/>
      </w:pPr>
      <w:r w:rsidRPr="00C06811">
        <w:t>Во введении определяется цель, характер задач и структура курсовой работы</w:t>
      </w:r>
      <w:r w:rsidR="00C06811" w:rsidRPr="00C06811">
        <w:t>.</w:t>
      </w:r>
    </w:p>
    <w:p w:rsidR="00C06811" w:rsidRDefault="008426BA" w:rsidP="00C06811">
      <w:pPr>
        <w:ind w:firstLine="709"/>
      </w:pPr>
      <w:r w:rsidRPr="00C06811">
        <w:t>В первой главе объясняется необходимость в составлении и реализации</w:t>
      </w:r>
      <w:r w:rsidR="00EC3446" w:rsidRPr="00C06811">
        <w:t xml:space="preserve"> </w:t>
      </w:r>
      <w:r w:rsidRPr="00C06811">
        <w:t>национальных экономических программ, так как они являются одним из</w:t>
      </w:r>
      <w:r w:rsidR="00EC3446" w:rsidRPr="00C06811">
        <w:t xml:space="preserve"> </w:t>
      </w:r>
      <w:r w:rsidRPr="00C06811">
        <w:t xml:space="preserve">наиболее действенных способов реформирования экономики </w:t>
      </w:r>
      <w:r w:rsidR="006E5D51" w:rsidRPr="00C06811">
        <w:t>Польши</w:t>
      </w:r>
      <w:r w:rsidR="00C06811" w:rsidRPr="00C06811">
        <w:t>.</w:t>
      </w:r>
    </w:p>
    <w:p w:rsidR="00C06811" w:rsidRDefault="008426BA" w:rsidP="00C06811">
      <w:pPr>
        <w:ind w:firstLine="709"/>
      </w:pPr>
      <w:r w:rsidRPr="00C06811">
        <w:t>Во второй главе осв</w:t>
      </w:r>
      <w:r w:rsidR="00395F6E" w:rsidRPr="00C06811">
        <w:t>ящаются итоги проведенных реформ</w:t>
      </w:r>
      <w:r w:rsidR="00C06811" w:rsidRPr="00C06811">
        <w:t xml:space="preserve">. </w:t>
      </w:r>
      <w:r w:rsidRPr="00C06811">
        <w:t>Одним из наиболее значительных итогов</w:t>
      </w:r>
      <w:r w:rsidR="00395F6E" w:rsidRPr="00C06811">
        <w:t xml:space="preserve"> </w:t>
      </w:r>
      <w:r w:rsidRPr="00C06811">
        <w:t>признается результат умеренного роста ВВП, улучшения показателей</w:t>
      </w:r>
      <w:r w:rsidR="00395F6E" w:rsidRPr="00C06811">
        <w:t xml:space="preserve"> </w:t>
      </w:r>
      <w:r w:rsidRPr="00C06811">
        <w:t>производительности, эффективности, издержек и соотношения качества и цен</w:t>
      </w:r>
      <w:r w:rsidR="00C06811" w:rsidRPr="00C06811">
        <w:t xml:space="preserve">. </w:t>
      </w:r>
      <w:r w:rsidRPr="00C06811">
        <w:t xml:space="preserve">Одной из перспектив является вступление </w:t>
      </w:r>
      <w:r w:rsidR="003D5D45" w:rsidRPr="00C06811">
        <w:t>Польши</w:t>
      </w:r>
      <w:r w:rsidRPr="00C06811">
        <w:t xml:space="preserve"> в ЕС</w:t>
      </w:r>
      <w:r w:rsidR="00C06811" w:rsidRPr="00C06811">
        <w:t xml:space="preserve">. </w:t>
      </w:r>
      <w:r w:rsidRPr="00C06811">
        <w:t>Это, безусловно,</w:t>
      </w:r>
      <w:r w:rsidR="006E5D51" w:rsidRPr="00C06811">
        <w:t xml:space="preserve"> </w:t>
      </w:r>
      <w:r w:rsidRPr="00C06811">
        <w:t>прин</w:t>
      </w:r>
      <w:r w:rsidR="003D5D45" w:rsidRPr="00C06811">
        <w:t>есло</w:t>
      </w:r>
      <w:r w:rsidRPr="00C06811">
        <w:t xml:space="preserve"> ряд полезных результатов, например, в виде прямых</w:t>
      </w:r>
      <w:r w:rsidR="006E5D51" w:rsidRPr="00C06811">
        <w:t xml:space="preserve"> </w:t>
      </w:r>
      <w:r w:rsidRPr="00C06811">
        <w:t>иностранных инвестиций, трансфертов и облегчения доступа к кредитным</w:t>
      </w:r>
      <w:r w:rsidR="006E5D51" w:rsidRPr="00C06811">
        <w:t xml:space="preserve"> </w:t>
      </w:r>
      <w:r w:rsidRPr="00C06811">
        <w:t>ресурсам</w:t>
      </w:r>
      <w:r w:rsidR="00C06811" w:rsidRPr="00C06811">
        <w:t xml:space="preserve">. </w:t>
      </w:r>
      <w:r w:rsidRPr="00C06811">
        <w:t>Однако стоит указать на возможные краткосрочные трудности</w:t>
      </w:r>
      <w:r w:rsidR="00C06811" w:rsidRPr="00C06811">
        <w:t xml:space="preserve">. </w:t>
      </w:r>
      <w:r w:rsidRPr="00C06811">
        <w:t>Одна из</w:t>
      </w:r>
      <w:r w:rsidR="006E5D51" w:rsidRPr="00C06811">
        <w:t xml:space="preserve"> </w:t>
      </w:r>
      <w:r w:rsidRPr="00C06811">
        <w:t>них связана с высокими финансовыми затратами на внедрение различных</w:t>
      </w:r>
      <w:r w:rsidR="006E5D51" w:rsidRPr="00C06811">
        <w:t xml:space="preserve"> </w:t>
      </w:r>
      <w:r w:rsidR="000C3871" w:rsidRPr="00C06811">
        <w:t>стандартов ЕС</w:t>
      </w:r>
      <w:r w:rsidR="00C06811" w:rsidRPr="00C06811">
        <w:t>.</w:t>
      </w:r>
    </w:p>
    <w:p w:rsidR="00C06811" w:rsidRDefault="000C3871" w:rsidP="00C06811">
      <w:pPr>
        <w:ind w:firstLine="709"/>
      </w:pPr>
      <w:r w:rsidRPr="00C06811">
        <w:t>В заключении подводятся итоги данной работы</w:t>
      </w:r>
      <w:r w:rsidR="00C06811" w:rsidRPr="00C06811">
        <w:t>.</w:t>
      </w:r>
    </w:p>
    <w:p w:rsidR="00C06811" w:rsidRDefault="00C06811" w:rsidP="00C06811">
      <w:pPr>
        <w:pStyle w:val="2"/>
      </w:pPr>
      <w:r>
        <w:br w:type="page"/>
      </w:r>
      <w:bookmarkStart w:id="1" w:name="_Toc256627446"/>
      <w:r>
        <w:t>Г</w:t>
      </w:r>
      <w:r w:rsidRPr="00C06811">
        <w:t>лава</w:t>
      </w:r>
      <w:r w:rsidR="00F40A1A" w:rsidRPr="00C06811">
        <w:t xml:space="preserve"> 1</w:t>
      </w:r>
      <w:r w:rsidRPr="00C06811">
        <w:t xml:space="preserve">. </w:t>
      </w:r>
      <w:r w:rsidR="00F40A1A" w:rsidRPr="00C06811">
        <w:t>Углубление кризиса в Польше</w:t>
      </w:r>
      <w:bookmarkEnd w:id="1"/>
    </w:p>
    <w:p w:rsidR="00C06811" w:rsidRDefault="00C06811" w:rsidP="00C06811">
      <w:pPr>
        <w:ind w:firstLine="709"/>
      </w:pPr>
    </w:p>
    <w:p w:rsidR="00C06811" w:rsidRDefault="00D53C7E" w:rsidP="00C06811">
      <w:pPr>
        <w:ind w:firstLine="709"/>
      </w:pPr>
      <w:r w:rsidRPr="00C06811">
        <w:t>1980</w:t>
      </w:r>
      <w:r w:rsidR="00C06811" w:rsidRPr="00C06811">
        <w:t>-</w:t>
      </w:r>
      <w:r w:rsidRPr="00C06811">
        <w:t>1989 гг</w:t>
      </w:r>
      <w:r w:rsidR="00C06811" w:rsidRPr="00C06811">
        <w:t xml:space="preserve">. </w:t>
      </w:r>
      <w:r w:rsidRPr="00C06811">
        <w:t>в Польше можно считать периодом окончательного развала экономики, краха системы централизованного планирования и монопартийного политического режима</w:t>
      </w:r>
      <w:r w:rsidR="00C06811" w:rsidRPr="00C06811">
        <w:t xml:space="preserve">. </w:t>
      </w:r>
      <w:r w:rsidRPr="00C06811">
        <w:t>В конце десятилетия стала происходить постепенная трансформация политической системы, сопровождавшаяся радикальными экономическими преобразованиями</w:t>
      </w:r>
      <w:r w:rsidR="00C06811" w:rsidRPr="00C06811">
        <w:t xml:space="preserve">. </w:t>
      </w:r>
      <w:r w:rsidRPr="00C06811">
        <w:t>Глубокий кризис, в котором оказалась экономика, ускорил проведение радикальных реформ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Польша, как и другие страны с плановой экономикой, пережила экономический рост 50</w:t>
      </w:r>
      <w:r w:rsidR="00C06811" w:rsidRPr="00C06811">
        <w:t>-</w:t>
      </w:r>
      <w:r w:rsidRPr="00C06811">
        <w:t>60-х годов, вызванный значительными инвестициями в тяжелую промышленность и перемещением рабочей силы из сельскохозяйственного сектора</w:t>
      </w:r>
      <w:r w:rsidR="00C06811" w:rsidRPr="00C06811">
        <w:t xml:space="preserve">. </w:t>
      </w:r>
      <w:r w:rsidRPr="00C06811">
        <w:t>Неэффективность социалистической экономики, ставшая очевидной в начале 70-х годов, а также экономический спад вынудили польские власти запустить программу инвестирования</w:t>
      </w:r>
      <w:r w:rsidR="00C06811" w:rsidRPr="00C06811">
        <w:t xml:space="preserve">. </w:t>
      </w:r>
      <w:r w:rsidRPr="00C06811">
        <w:t>Однако накопления внутреннего капитала были недостаточны для финансирования крупномасштабных инвестиционных проектов, поэтому приходилось привлекать инвестиционный капитал из-за рубежа</w:t>
      </w:r>
      <w:r w:rsidR="00C06811" w:rsidRPr="00C06811">
        <w:t xml:space="preserve">. </w:t>
      </w:r>
      <w:r w:rsidRPr="00C06811">
        <w:t>Излишки по счету движения капитала финансировались из дефицитов по счету текущих операций и достигали 10</w:t>
      </w:r>
      <w:r w:rsidR="00C06811" w:rsidRPr="00C06811">
        <w:t>%</w:t>
      </w:r>
      <w:r w:rsidRPr="00C06811">
        <w:t xml:space="preserve"> ВВП в 1975 г</w:t>
      </w:r>
      <w:r w:rsidR="00C06811" w:rsidRPr="00C06811">
        <w:t xml:space="preserve">. </w:t>
      </w:r>
      <w:r w:rsidRPr="00C06811">
        <w:t>К концу 70-х годов внешний долг вырос с 0 до 40</w:t>
      </w:r>
      <w:r w:rsidR="00C06811" w:rsidRPr="00C06811">
        <w:t>%</w:t>
      </w:r>
      <w:r w:rsidRPr="00C06811">
        <w:t xml:space="preserve"> ВВП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Традиционно низкие и фактически отрицательные в реальном выражении мировые ставки процента начиная с 1972 г</w:t>
      </w:r>
      <w:r w:rsidR="00C06811" w:rsidRPr="00C06811">
        <w:t xml:space="preserve">. </w:t>
      </w:r>
      <w:r w:rsidRPr="00C06811">
        <w:t>возникали вследствие депонирования на счета международных банков, функционирующих в Европе, доходов от продажи нефти странами-экспортерами после первого нефтяного кризиса</w:t>
      </w:r>
      <w:r w:rsidR="00C06811" w:rsidRPr="00C06811">
        <w:t xml:space="preserve">. </w:t>
      </w:r>
      <w:r w:rsidRPr="00C06811">
        <w:t>Расширение евродолларового рынка открыло развивающимся странам, в том числе и Польше, доступ к кредитам</w:t>
      </w:r>
      <w:r w:rsidR="00C06811" w:rsidRPr="00C06811">
        <w:t xml:space="preserve">. </w:t>
      </w:r>
      <w:r w:rsidRPr="00C06811">
        <w:t>Антиинфляционные программы, осуществлявшиеся Федеральной резервной системой США, привели к тому, что мировые ставки процента резко выросли</w:t>
      </w:r>
      <w:r w:rsidR="00C06811" w:rsidRPr="00C06811">
        <w:t xml:space="preserve">. </w:t>
      </w:r>
      <w:r w:rsidRPr="00C06811">
        <w:t>Так, уровень суточных депозитов США в долларовом выражении вырос до 14,28</w:t>
      </w:r>
      <w:r w:rsidR="00C06811" w:rsidRPr="00C06811">
        <w:t>%</w:t>
      </w:r>
      <w:r w:rsidRPr="00C06811">
        <w:t xml:space="preserve"> годовых в 1979 г</w:t>
      </w:r>
      <w:r w:rsidR="00C06811" w:rsidRPr="00C06811">
        <w:t xml:space="preserve">. </w:t>
      </w:r>
      <w:r w:rsidRPr="00C06811">
        <w:t>с 5,08</w:t>
      </w:r>
      <w:r w:rsidR="00C06811" w:rsidRPr="00C06811">
        <w:t>%</w:t>
      </w:r>
      <w:r w:rsidRPr="00C06811">
        <w:t xml:space="preserve"> в 1972 г</w:t>
      </w:r>
      <w:r w:rsidR="00C06811" w:rsidRPr="00C06811">
        <w:t xml:space="preserve">. </w:t>
      </w:r>
      <w:r w:rsidRPr="00C06811">
        <w:t>и 6,25</w:t>
      </w:r>
      <w:r w:rsidR="00C06811" w:rsidRPr="00C06811">
        <w:t>%</w:t>
      </w:r>
      <w:r w:rsidRPr="00C06811">
        <w:t xml:space="preserve"> в 1976 г</w:t>
      </w:r>
      <w:r w:rsidR="00C06811" w:rsidRPr="00C06811">
        <w:t xml:space="preserve">. </w:t>
      </w:r>
      <w:r w:rsidRPr="00C06811">
        <w:t>В то же время цены на сырьевые продукты падали, вследствие чего и произошел второй нефтяной кризис</w:t>
      </w:r>
      <w:r w:rsidR="00C06811">
        <w:t xml:space="preserve"> (</w:t>
      </w:r>
      <w:r w:rsidRPr="00C06811">
        <w:t>1978</w:t>
      </w:r>
      <w:r w:rsidR="00C06811" w:rsidRPr="00C06811">
        <w:t>-</w:t>
      </w:r>
      <w:r w:rsidRPr="00C06811">
        <w:t xml:space="preserve">1979 </w:t>
      </w:r>
      <w:r w:rsidR="00C06811">
        <w:t>гг.)</w:t>
      </w:r>
      <w:r w:rsidR="00C06811" w:rsidRPr="00C06811">
        <w:t xml:space="preserve">. </w:t>
      </w:r>
      <w:r w:rsidRPr="00C06811">
        <w:t>Польша серьезно пострадала от роста мировых ставок, несмотря на поставку энергетических ресурсов</w:t>
      </w:r>
      <w:r w:rsidR="00C06811">
        <w:t xml:space="preserve"> (</w:t>
      </w:r>
      <w:r w:rsidRPr="00C06811">
        <w:t>нефти и газа</w:t>
      </w:r>
      <w:r w:rsidR="00C06811" w:rsidRPr="00C06811">
        <w:t xml:space="preserve">) </w:t>
      </w:r>
      <w:r w:rsidRPr="00C06811">
        <w:t>из СССР по ценам ниже мировых и значительное финансирование работ по разведке внутренних энергетических ресурсов, прежде всего угля</w:t>
      </w:r>
      <w:r w:rsidR="00C06811" w:rsidRPr="00C06811">
        <w:t xml:space="preserve">. </w:t>
      </w:r>
      <w:r w:rsidRPr="00C06811">
        <w:t>Перед августом 1982 г</w:t>
      </w:r>
      <w:r w:rsidR="00C06811" w:rsidRPr="00C06811">
        <w:t xml:space="preserve">. </w:t>
      </w:r>
      <w:r w:rsidRPr="00C06811">
        <w:t>Польша оказалась в ситуации долгового кризиса, после того как Мексика отказалась выполнять свои обязательства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Дефолт по долгам совпал по времени с политическими и экономическими санкциями, введенными западными странами в отношении Польши</w:t>
      </w:r>
      <w:r w:rsidR="00C06811" w:rsidRPr="00C06811">
        <w:t xml:space="preserve">. </w:t>
      </w:r>
      <w:r w:rsidRPr="00C06811">
        <w:t>В обществе происходили серьезные экономические и политические трансформации, например, сокращение потребления и инвестиционных расходов, что выражалось в падении ВВП на 10</w:t>
      </w:r>
      <w:r w:rsidR="00C06811" w:rsidRPr="00C06811">
        <w:t>%</w:t>
      </w:r>
      <w:r w:rsidRPr="00C06811">
        <w:t xml:space="preserve"> и 5</w:t>
      </w:r>
      <w:r w:rsidR="00C06811" w:rsidRPr="00C06811">
        <w:t>%</w:t>
      </w:r>
      <w:r w:rsidRPr="00C06811">
        <w:t xml:space="preserve"> в 1981 и 1982 гг</w:t>
      </w:r>
      <w:r w:rsidR="00C06811" w:rsidRPr="00C06811">
        <w:t xml:space="preserve">. </w:t>
      </w:r>
      <w:r w:rsidRPr="00C06811">
        <w:t>соответственно</w:t>
      </w:r>
      <w:r w:rsidR="00C06811" w:rsidRPr="00C06811">
        <w:t xml:space="preserve">. </w:t>
      </w:r>
      <w:r w:rsidRPr="00C06811">
        <w:t>Рост инвестиционных и потребительских расходов в объеме 4</w:t>
      </w:r>
      <w:r w:rsidR="00C06811" w:rsidRPr="00C06811">
        <w:t>-</w:t>
      </w:r>
      <w:r w:rsidRPr="00C06811">
        <w:t>5</w:t>
      </w:r>
      <w:r w:rsidR="00C06811" w:rsidRPr="00C06811">
        <w:t>%</w:t>
      </w:r>
      <w:r w:rsidRPr="00C06811">
        <w:t xml:space="preserve"> произошел только в 1983</w:t>
      </w:r>
      <w:r w:rsidR="00C06811" w:rsidRPr="00C06811">
        <w:t>-</w:t>
      </w:r>
      <w:r w:rsidRPr="00C06811">
        <w:t>1986 гг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Однако экономический рост не был ничем подкреплен</w:t>
      </w:r>
      <w:r w:rsidR="00C06811" w:rsidRPr="00C06811">
        <w:t xml:space="preserve">. </w:t>
      </w:r>
      <w:r w:rsidRPr="00C06811">
        <w:t>Промышленный сектор не мог экспортировать товары в достаточном объеме, поэтому его производство оказалось в состоянии стагнации</w:t>
      </w:r>
      <w:r w:rsidR="00C06811" w:rsidRPr="00C06811">
        <w:t xml:space="preserve">. </w:t>
      </w:r>
      <w:r w:rsidRPr="00C06811">
        <w:t xml:space="preserve">Тем не </w:t>
      </w:r>
      <w:r w:rsidR="00CC270D" w:rsidRPr="00C06811">
        <w:t>менее,</w:t>
      </w:r>
      <w:r w:rsidRPr="00C06811">
        <w:t xml:space="preserve"> росло потребление энергетических и сырьевых материалов, что отражалось в росте соотношения капитал/выпуск и более энергоемком производстве</w:t>
      </w:r>
      <w:r w:rsidR="00C06811" w:rsidRPr="00C06811">
        <w:t xml:space="preserve">. </w:t>
      </w:r>
      <w:r w:rsidRPr="00C06811">
        <w:t>Польские власти предприняли попытки частично реформировать систему централизованного планирования с целью децентрализации процесса принятия решений в сферах производства, инвестиционного планирования, вне</w:t>
      </w:r>
      <w:r w:rsidR="00CC270D" w:rsidRPr="00C06811">
        <w:t>шней торговли и оплаты труда</w:t>
      </w:r>
      <w:r w:rsidR="00C06811" w:rsidRPr="00C06811">
        <w:t xml:space="preserve">. </w:t>
      </w:r>
      <w:r w:rsidR="00CC270D" w:rsidRPr="00C06811">
        <w:rPr>
          <w:rStyle w:val="a8"/>
          <w:color w:val="000000"/>
        </w:rPr>
        <w:footnoteReference w:id="1"/>
      </w:r>
      <w:r w:rsidRPr="00C06811">
        <w:t xml:space="preserve"> Предпринятые меры по децентрализации не способствовали восстановлению польской экономики, так как не были созданы рыночные стимулы</w:t>
      </w:r>
      <w:r w:rsidR="00C06811">
        <w:t xml:space="preserve"> (</w:t>
      </w:r>
      <w:r w:rsidRPr="00C06811">
        <w:t>ВВП вырос только на 4</w:t>
      </w:r>
      <w:r w:rsidR="00C06811" w:rsidRPr="00C06811">
        <w:t>%</w:t>
      </w:r>
      <w:r w:rsidRPr="00C06811">
        <w:t xml:space="preserve"> в 1987 г</w:t>
      </w:r>
      <w:r w:rsidR="00C06811">
        <w:t>.,</w:t>
      </w:r>
      <w:r w:rsidRPr="00C06811">
        <w:t xml:space="preserve"> на 2</w:t>
      </w:r>
      <w:r w:rsidR="00C06811" w:rsidRPr="00C06811">
        <w:t>%</w:t>
      </w:r>
      <w:r w:rsidRPr="00C06811">
        <w:t xml:space="preserve"> в 1988 г</w:t>
      </w:r>
      <w:r w:rsidR="00C06811" w:rsidRPr="00C06811">
        <w:t xml:space="preserve">. </w:t>
      </w:r>
      <w:r w:rsidRPr="00C06811">
        <w:t>и на 0,3</w:t>
      </w:r>
      <w:r w:rsidR="00C06811" w:rsidRPr="00C06811">
        <w:t>%</w:t>
      </w:r>
      <w:r w:rsidRPr="00C06811">
        <w:t xml:space="preserve"> в 1989 г</w:t>
      </w:r>
      <w:r w:rsidR="00C06811" w:rsidRPr="00C06811">
        <w:t xml:space="preserve">). </w:t>
      </w:r>
      <w:r w:rsidRPr="00C06811">
        <w:t>Эти меры не способствовали изменению относительных цен, необходимому для устранения дефицита товаров и услуг, и только ухудшали ситуацию</w:t>
      </w:r>
      <w:r w:rsidR="00C06811" w:rsidRPr="00C06811">
        <w:t xml:space="preserve">. </w:t>
      </w:r>
      <w:r w:rsidRPr="00C06811">
        <w:t>Например, неконтролируемые действия в области формирования заработной платы привели к тому, что в начале 80-х годов и в 1987</w:t>
      </w:r>
      <w:r w:rsidR="00C06811" w:rsidRPr="00C06811">
        <w:t>-</w:t>
      </w:r>
      <w:r w:rsidRPr="00C06811">
        <w:t>1989 гг</w:t>
      </w:r>
      <w:r w:rsidR="00C06811" w:rsidRPr="00C06811">
        <w:t xml:space="preserve">. </w:t>
      </w:r>
      <w:r w:rsidRPr="00C06811">
        <w:t>произошел значительный рост заработной платы, что по времени совпадало с возрастающим недоверием населения к коммунистическому режиму в Польше</w:t>
      </w:r>
      <w:r w:rsidR="00C06811" w:rsidRPr="00C06811">
        <w:t xml:space="preserve">. </w:t>
      </w:r>
      <w:r w:rsidRPr="00C06811">
        <w:t>Рост реальной заработной платы был не результатом повышения производительности и избыточного спроса, а следствием политики, проводимой государством в сфере ценообразования</w:t>
      </w:r>
      <w:r w:rsidR="00C06811" w:rsidRPr="00C06811">
        <w:t xml:space="preserve">. </w:t>
      </w:r>
      <w:r w:rsidRPr="00C06811">
        <w:t>Помимо этого децентрализация сопровождалась привычной бюрократической волокитой и непрозрачностью принимаемых правил, из-за чего предприятия вынуждены были торговаться за субсидии, обменный курс и государственные контракты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В 1988 г</w:t>
      </w:r>
      <w:r w:rsidR="00C06811" w:rsidRPr="00C06811">
        <w:t xml:space="preserve">. </w:t>
      </w:r>
      <w:r w:rsidRPr="00C06811">
        <w:t>коммунистический режим предпринял последнюю попытку восстановить контроль над государственными финансами</w:t>
      </w:r>
      <w:r w:rsidR="00C06811" w:rsidRPr="00C06811">
        <w:t xml:space="preserve">. </w:t>
      </w:r>
      <w:r w:rsidRPr="00C06811">
        <w:t>Были отменены субсидии и проведена либерализация цен</w:t>
      </w:r>
      <w:r w:rsidR="00C06811" w:rsidRPr="00C06811">
        <w:t xml:space="preserve">. </w:t>
      </w:r>
      <w:r w:rsidRPr="00C06811">
        <w:t>Закон</w:t>
      </w:r>
      <w:r w:rsidR="00C06811">
        <w:t xml:space="preserve"> "</w:t>
      </w:r>
      <w:r w:rsidRPr="00C06811">
        <w:t>Об экономической деятельности</w:t>
      </w:r>
      <w:r w:rsidR="00C06811">
        <w:t xml:space="preserve">", </w:t>
      </w:r>
      <w:r w:rsidRPr="00C06811">
        <w:t>принятый в декабре 1988 г</w:t>
      </w:r>
      <w:r w:rsidR="00C06811">
        <w:t>.,</w:t>
      </w:r>
      <w:r w:rsidRPr="00C06811">
        <w:t xml:space="preserve"> разрешил основывать частные компании, а уже в марте 1989 г</w:t>
      </w:r>
      <w:r w:rsidR="00C06811" w:rsidRPr="00C06811">
        <w:t xml:space="preserve">. </w:t>
      </w:r>
      <w:r w:rsidRPr="00C06811">
        <w:t>власти легализовали теневой валютный рынок с целью извлечь выгоды из ситуации, когда происходило бегство от польского злотого</w:t>
      </w:r>
      <w:r w:rsidR="00C06811" w:rsidRPr="00C06811">
        <w:t xml:space="preserve">. </w:t>
      </w:r>
      <w:r w:rsidRPr="00C06811">
        <w:t>Результатом этой политики стало распространение такого социального феномена, как отсутствие социальной поддержки реформ, из-за чего происходила индексация заработной платы и формирование спирали</w:t>
      </w:r>
      <w:r w:rsidR="00C06811">
        <w:t xml:space="preserve"> "</w:t>
      </w:r>
      <w:r w:rsidRPr="00C06811">
        <w:t>заработная плата</w:t>
      </w:r>
      <w:r w:rsidR="00C06811" w:rsidRPr="00C06811">
        <w:t xml:space="preserve"> - </w:t>
      </w:r>
      <w:r w:rsidRPr="00C06811">
        <w:t>цена</w:t>
      </w:r>
      <w:r w:rsidR="00C06811" w:rsidRPr="00C06811">
        <w:t xml:space="preserve"> - </w:t>
      </w:r>
      <w:r w:rsidRPr="00C06811">
        <w:t>обменный курс</w:t>
      </w:r>
      <w:r w:rsidR="00C06811">
        <w:t xml:space="preserve">". </w:t>
      </w:r>
      <w:r w:rsidRPr="00C06811">
        <w:t>В 1989 г</w:t>
      </w:r>
      <w:r w:rsidR="00C06811" w:rsidRPr="00C06811">
        <w:t xml:space="preserve">. </w:t>
      </w:r>
      <w:r w:rsidRPr="00C06811">
        <w:t>эта спираль ввергла польскую экономику в гиперинфляцию, сопровождавшуюся ускоренным ростом индекса потребительских цен</w:t>
      </w:r>
      <w:r w:rsidR="00C06811">
        <w:t xml:space="preserve"> (</w:t>
      </w:r>
      <w:r w:rsidRPr="00C06811">
        <w:t>ИПЦ</w:t>
      </w:r>
      <w:r w:rsidR="00C06811" w:rsidRPr="00C06811">
        <w:t xml:space="preserve">) </w:t>
      </w:r>
      <w:r w:rsidRPr="00C06811">
        <w:t>с 8</w:t>
      </w:r>
      <w:r w:rsidR="00C06811" w:rsidRPr="00C06811">
        <w:t>%</w:t>
      </w:r>
      <w:r w:rsidRPr="00C06811">
        <w:t xml:space="preserve"> в марте до 55</w:t>
      </w:r>
      <w:r w:rsidR="00C06811" w:rsidRPr="00C06811">
        <w:t>%</w:t>
      </w:r>
      <w:r w:rsidRPr="00C06811">
        <w:t xml:space="preserve"> в октябре и составившую по итогам года 64</w:t>
      </w:r>
      <w:r w:rsidR="00AD6DB7" w:rsidRPr="00C06811">
        <w:t>,</w:t>
      </w:r>
      <w:r w:rsidRPr="00C06811">
        <w:t>3</w:t>
      </w:r>
      <w:r w:rsidR="00C06811" w:rsidRPr="00C06811">
        <w:t>%.</w:t>
      </w:r>
    </w:p>
    <w:p w:rsidR="00C06811" w:rsidRDefault="00D53C7E" w:rsidP="00C06811">
      <w:pPr>
        <w:ind w:firstLine="709"/>
      </w:pPr>
      <w:r w:rsidRPr="00C06811">
        <w:t>Частичные реформы, предпринятые в середине 80-х годов, ознаменовались повсеместным дефицитом, расцветом черного рынка, падением выпуска, скрытой безработицей, подавляемой инфляцией и ухудшением стандарто</w:t>
      </w:r>
      <w:r w:rsidR="006D125E" w:rsidRPr="00C06811">
        <w:t>в уровня жизни</w:t>
      </w:r>
      <w:r w:rsidR="00C06811" w:rsidRPr="00C06811">
        <w:t xml:space="preserve">. </w:t>
      </w:r>
      <w:r w:rsidRPr="00C06811">
        <w:t>Наследие социализма, как и в других странах с централизованным планированием, обременяло польскую экономику</w:t>
      </w:r>
      <w:r w:rsidR="00C06811" w:rsidRPr="00C06811">
        <w:t xml:space="preserve">. </w:t>
      </w:r>
      <w:r w:rsidRPr="00C06811">
        <w:t>В числе негативных последствий можно отметить сверхиндустриализацию в таких областях тяжелой промышленности, как сталелитейная, угольная и химическая</w:t>
      </w:r>
      <w:r w:rsidR="00C06811" w:rsidRPr="00C06811">
        <w:t xml:space="preserve">; </w:t>
      </w:r>
      <w:r w:rsidRPr="00C06811">
        <w:t>сохранение предприятий в государственной собственности, недостаточное развитие сферы услуг, малых и средних предприятий</w:t>
      </w:r>
      <w:r w:rsidR="00C06811" w:rsidRPr="00C06811">
        <w:t xml:space="preserve">; </w:t>
      </w:r>
      <w:r w:rsidRPr="00C06811">
        <w:t>бартерные соглашения в сфере международной торговли со странами Совета экономической взаимопомощи</w:t>
      </w:r>
      <w:r w:rsidR="00C06811">
        <w:t xml:space="preserve"> (</w:t>
      </w:r>
      <w:r w:rsidRPr="00C06811">
        <w:t>СЭВ</w:t>
      </w:r>
      <w:r w:rsidR="00C06811" w:rsidRPr="00C06811">
        <w:t xml:space="preserve">); </w:t>
      </w:r>
      <w:r w:rsidRPr="00C06811">
        <w:t>гарантированные социальные льготы</w:t>
      </w:r>
      <w:r w:rsidR="00C06811" w:rsidRPr="00C06811">
        <w:t xml:space="preserve">. </w:t>
      </w:r>
      <w:r w:rsidRPr="00C06811">
        <w:t>Специфика Польши заключалась также в существовании крупного и неэффективного сельскохозяйственного сектора, направление развития которого в условиях свободного рынка еще следовало определить</w:t>
      </w:r>
      <w:r w:rsidR="00C06811" w:rsidRPr="00C06811">
        <w:t>.</w:t>
      </w:r>
    </w:p>
    <w:p w:rsidR="00D53C7E" w:rsidRPr="00C06811" w:rsidRDefault="00C06811" w:rsidP="00C06811">
      <w:pPr>
        <w:pStyle w:val="2"/>
      </w:pPr>
      <w:r>
        <w:br w:type="page"/>
      </w:r>
      <w:bookmarkStart w:id="2" w:name="_Toc256627447"/>
      <w:r>
        <w:t>Г</w:t>
      </w:r>
      <w:r w:rsidRPr="00C06811">
        <w:t>лава</w:t>
      </w:r>
      <w:r w:rsidR="00F40A1A" w:rsidRPr="00C06811">
        <w:t xml:space="preserve"> 2</w:t>
      </w:r>
      <w:r w:rsidRPr="00C06811">
        <w:t xml:space="preserve">. </w:t>
      </w:r>
      <w:r w:rsidR="00F40A1A" w:rsidRPr="00C06811">
        <w:t>Стабилизационные программы Польши</w:t>
      </w:r>
      <w:bookmarkEnd w:id="2"/>
    </w:p>
    <w:p w:rsidR="00C06811" w:rsidRDefault="00C06811" w:rsidP="00C06811">
      <w:pPr>
        <w:ind w:firstLine="709"/>
      </w:pPr>
    </w:p>
    <w:p w:rsidR="00C06811" w:rsidRDefault="00C06811" w:rsidP="00C06811">
      <w:pPr>
        <w:pStyle w:val="2"/>
      </w:pPr>
      <w:bookmarkStart w:id="3" w:name="_Toc256627448"/>
      <w:r>
        <w:t xml:space="preserve">2.1 </w:t>
      </w:r>
      <w:r w:rsidR="00D53C7E" w:rsidRPr="00C06811">
        <w:t>Программа реформ в 1990</w:t>
      </w:r>
      <w:r w:rsidRPr="00C06811">
        <w:t>-</w:t>
      </w:r>
      <w:r w:rsidR="00D53C7E" w:rsidRPr="00C06811">
        <w:t xml:space="preserve">1995 </w:t>
      </w:r>
      <w:r w:rsidR="0073583B" w:rsidRPr="00C06811">
        <w:t>годов</w:t>
      </w:r>
      <w:bookmarkEnd w:id="3"/>
    </w:p>
    <w:p w:rsidR="00C06811" w:rsidRDefault="00C06811" w:rsidP="00C06811">
      <w:pPr>
        <w:ind w:firstLine="709"/>
      </w:pPr>
    </w:p>
    <w:p w:rsidR="00C06811" w:rsidRDefault="00AD6DB7" w:rsidP="00C06811">
      <w:pPr>
        <w:ind w:firstLine="709"/>
      </w:pPr>
      <w:r w:rsidRPr="00C06811">
        <w:t>В 1980-е годы перед социалистической Польшей встала задача реформирования экономики</w:t>
      </w:r>
      <w:r w:rsidR="00C06811" w:rsidRPr="00C06811">
        <w:t xml:space="preserve">. </w:t>
      </w:r>
      <w:r w:rsidRPr="00C06811">
        <w:t>Правительство ослабило контроль за деятельностью предприятий</w:t>
      </w:r>
      <w:r w:rsidR="00C06811" w:rsidRPr="00C06811">
        <w:t xml:space="preserve">. </w:t>
      </w:r>
      <w:r w:rsidRPr="00C06811">
        <w:t>В то же время предприятия продолжали настаивать на выделении государством субсидий и других форм поддержки</w:t>
      </w:r>
      <w:r w:rsidR="00C06811" w:rsidRPr="00C06811">
        <w:t xml:space="preserve">. </w:t>
      </w:r>
      <w:r w:rsidRPr="00C06811">
        <w:t>Власти, не имевшие возможности финансировать более высокий уровень расходов за счет налоговых поступлений, были вынуждены прибегать к эмиссии</w:t>
      </w:r>
      <w:r w:rsidR="00C06811" w:rsidRPr="00C06811">
        <w:t xml:space="preserve">. </w:t>
      </w:r>
      <w:r w:rsidRPr="00C06811">
        <w:t>В результате правительство Мазовецкого, пришедшее к власти в сентябре 1989 года, столкнулось с огромным дефицитом бюджета и быстро растущей инфляцией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Новое правительство состояло из технократов, полностью посвятивших себя формированию основ рыночной экономики в Польше</w:t>
      </w:r>
      <w:r w:rsidR="00C06811" w:rsidRPr="00C06811">
        <w:t xml:space="preserve">. </w:t>
      </w:r>
      <w:r w:rsidRPr="00C06811">
        <w:t>Сразу после прихода к власти правительство опубликовало меморандум с программой экономических реформ, который в основном был адресован МВФ</w:t>
      </w:r>
      <w:r w:rsidR="00C06811" w:rsidRPr="00C06811">
        <w:t xml:space="preserve">. </w:t>
      </w:r>
      <w:r w:rsidRPr="00C06811">
        <w:t>Программа была названа по имени Л</w:t>
      </w:r>
      <w:r w:rsidR="00C06811" w:rsidRPr="00C06811">
        <w:t xml:space="preserve">. </w:t>
      </w:r>
      <w:r w:rsidRPr="00C06811">
        <w:t>Бальцеровича, заместителя премьер-министра и министра финансов, а также главного автора пакета реформ, и охватывала целый спектр проблем, для решения которых предлагала ряд краткосрочных и долгосрочных мер</w:t>
      </w:r>
      <w:r w:rsidR="00C06811" w:rsidRPr="00C06811">
        <w:t xml:space="preserve">. </w:t>
      </w:r>
      <w:r w:rsidRPr="00C06811">
        <w:t>Эти меры были оговорены позднее в соглашении о резервировании и соглашении о расширенном кредитовании</w:t>
      </w:r>
      <w:r w:rsidR="00C06811" w:rsidRPr="00C06811">
        <w:t xml:space="preserve">. </w:t>
      </w:r>
      <w:r w:rsidRPr="00C06811">
        <w:t>План Л</w:t>
      </w:r>
      <w:r w:rsidR="00C06811" w:rsidRPr="00C06811">
        <w:t xml:space="preserve">. </w:t>
      </w:r>
      <w:r w:rsidRPr="00C06811">
        <w:t>Бальцеровича представлял собой радикальный подход к преобразованию плановой экономики в рыночную и по-другому назывался еще</w:t>
      </w:r>
      <w:r w:rsidR="00C06811">
        <w:t xml:space="preserve"> "</w:t>
      </w:r>
      <w:r w:rsidRPr="00C06811">
        <w:t>шоковой терапией</w:t>
      </w:r>
      <w:r w:rsidR="00C06811">
        <w:t>" ("</w:t>
      </w:r>
      <w:r w:rsidRPr="00C06811">
        <w:t>shock therapy</w:t>
      </w:r>
      <w:r w:rsidR="00C06811">
        <w:t>"</w:t>
      </w:r>
      <w:r w:rsidR="00C06811" w:rsidRPr="00C06811">
        <w:t xml:space="preserve">) </w:t>
      </w:r>
      <w:r w:rsidRPr="00C06811">
        <w:t>или</w:t>
      </w:r>
      <w:r w:rsidR="00C06811">
        <w:t xml:space="preserve"> "</w:t>
      </w:r>
      <w:r w:rsidRPr="00C06811">
        <w:t>большим скачком</w:t>
      </w:r>
      <w:r w:rsidR="00C06811">
        <w:t>" ("</w:t>
      </w:r>
      <w:r w:rsidRPr="00C06811">
        <w:t>big bang</w:t>
      </w:r>
      <w:r w:rsidR="00C06811">
        <w:t>"</w:t>
      </w:r>
      <w:r w:rsidR="00C06811" w:rsidRPr="00C06811">
        <w:t xml:space="preserve">). </w:t>
      </w:r>
      <w:r w:rsidRPr="00C06811">
        <w:t>Фактически он представлял собой неортодоксальную стабилизационную программу, в которой основной упор делался на жесткую фискальную политику</w:t>
      </w:r>
      <w:r w:rsidR="00C06811" w:rsidRPr="00C06811">
        <w:t xml:space="preserve">. </w:t>
      </w:r>
      <w:r w:rsidRPr="00C06811">
        <w:t>Ее ключевыми элементами являлись фиксированный обменный курс и прогрессивное налогообложение доходов, необходимое для сдерживания роста заработной платы</w:t>
      </w:r>
      <w:r w:rsidR="00C06811" w:rsidRPr="00C06811">
        <w:t xml:space="preserve">. </w:t>
      </w:r>
      <w:r w:rsidRPr="00C06811">
        <w:t>Фиксация курса злотого по отношению к доллару наряду с ограничением роста номинальной заработной платы смягчали инфляционные ожидания и рассматривались в качестве двух ключевых пунктов программы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Правительство было обеспокоено тем, что трансформация польской экономики должна была происходить в чрезвычайно</w:t>
      </w:r>
      <w:r w:rsidR="00C06811">
        <w:t xml:space="preserve"> "</w:t>
      </w:r>
      <w:r w:rsidRPr="00C06811">
        <w:t>враждебных</w:t>
      </w:r>
      <w:r w:rsidR="00C06811">
        <w:t xml:space="preserve">" </w:t>
      </w:r>
      <w:r w:rsidRPr="00C06811">
        <w:t>экономических условиях</w:t>
      </w:r>
      <w:r w:rsidR="00C06811" w:rsidRPr="00C06811">
        <w:t xml:space="preserve">. </w:t>
      </w:r>
      <w:r w:rsidRPr="00C06811">
        <w:t>Уровень жизни достиг самой низкой отметки за прошедшие десять лет, что стало основной причиной распространения бедности</w:t>
      </w:r>
      <w:r w:rsidR="00C06811" w:rsidRPr="00C06811">
        <w:t xml:space="preserve">. </w:t>
      </w:r>
      <w:r w:rsidRPr="00C06811">
        <w:t>Ситуация характеризовалась также макроэкономической дестабилизацией</w:t>
      </w:r>
      <w:r w:rsidR="00C06811">
        <w:t xml:space="preserve"> (</w:t>
      </w:r>
      <w:r w:rsidRPr="00C06811">
        <w:t>гиперинфляция, финансовый кризис, падение производства</w:t>
      </w:r>
      <w:r w:rsidR="00C06811" w:rsidRPr="00C06811">
        <w:t xml:space="preserve">) </w:t>
      </w:r>
      <w:r w:rsidRPr="00C06811">
        <w:t>и экологическим кризисом во многих частях страны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Тремя главными элементами такой жесткой программы были</w:t>
      </w:r>
      <w:r w:rsidR="00C06811" w:rsidRPr="00C06811">
        <w:t>:</w:t>
      </w:r>
    </w:p>
    <w:p w:rsidR="00C06811" w:rsidRDefault="00D53C7E" w:rsidP="00C06811">
      <w:pPr>
        <w:ind w:firstLine="709"/>
      </w:pPr>
      <w:r w:rsidRPr="00C06811">
        <w:t>• денежная и ценовая стабилизация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структурная перестройка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уменьшение внешнего долга и расчет на экономическую помощь из</w:t>
      </w:r>
      <w:r w:rsidR="006D125E" w:rsidRPr="00C06811">
        <w:t>-</w:t>
      </w:r>
      <w:r w:rsidRPr="00C06811">
        <w:t>за рубежа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Всех этих целей следовало достигнуть одновременно и быстро, ибо они являлись залогом стабилизации, без которой, по мнению авторов программы, невозможно было рассчитывать на успешное развитие экономики</w:t>
      </w:r>
      <w:r w:rsidR="00C06811" w:rsidRPr="00C06811">
        <w:t xml:space="preserve">. </w:t>
      </w:r>
      <w:r w:rsidRPr="00C06811">
        <w:t>Радикализм и скоротечность согласовывались с целью правительства уменьшить период болезненного</w:t>
      </w:r>
      <w:r w:rsidR="00C06811">
        <w:t xml:space="preserve"> "</w:t>
      </w:r>
      <w:r w:rsidRPr="00C06811">
        <w:t>примирения</w:t>
      </w:r>
      <w:r w:rsidR="00C06811">
        <w:t xml:space="preserve">" </w:t>
      </w:r>
      <w:r w:rsidRPr="00C06811">
        <w:t>общества с жесткими и радикальными мерами</w:t>
      </w:r>
      <w:r w:rsidR="00C06811" w:rsidRPr="00C06811">
        <w:t xml:space="preserve">. </w:t>
      </w:r>
      <w:r w:rsidRPr="00C06811">
        <w:t>Кроме того, неуда</w:t>
      </w:r>
      <w:r w:rsidR="006523FC" w:rsidRPr="00C06811">
        <w:t>чный опыт частичных реформ в</w:t>
      </w:r>
      <w:r w:rsidR="00C06811" w:rsidRPr="00C06811">
        <w:t xml:space="preserve"> </w:t>
      </w:r>
      <w:r w:rsidR="006523FC" w:rsidRPr="00C06811">
        <w:t>80-</w:t>
      </w:r>
      <w:r w:rsidRPr="00C06811">
        <w:t>х годах лишний раз убеждал сторонников</w:t>
      </w:r>
      <w:r w:rsidR="00C06811">
        <w:t xml:space="preserve"> "</w:t>
      </w:r>
      <w:r w:rsidRPr="00C06811">
        <w:t>шоковой терапии</w:t>
      </w:r>
      <w:r w:rsidR="00C06811">
        <w:t xml:space="preserve">" </w:t>
      </w:r>
      <w:r w:rsidRPr="00C06811">
        <w:t>в необходимости ее проведения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Меры, направленные на достижение денежной и ценовой стабилизации, включали в себя ограничение доступа правительства и предприятий к кредитам и выравнивание относительных цен</w:t>
      </w:r>
      <w:r w:rsidR="00C06811" w:rsidRPr="00C06811">
        <w:t xml:space="preserve">. </w:t>
      </w:r>
      <w:r w:rsidRPr="00C06811">
        <w:t>В краткосрочной перспективе ожидалось, что</w:t>
      </w:r>
      <w:r w:rsidR="00C06811">
        <w:t xml:space="preserve"> "</w:t>
      </w:r>
      <w:r w:rsidRPr="00C06811">
        <w:t>корректирующая инфляция</w:t>
      </w:r>
      <w:r w:rsidR="00C06811">
        <w:t xml:space="preserve">" </w:t>
      </w:r>
      <w:r w:rsidRPr="00C06811">
        <w:t>будет устранять присутствующие в экономике ценовые искажения</w:t>
      </w:r>
      <w:r w:rsidR="00C06811" w:rsidRPr="00C06811">
        <w:t xml:space="preserve">. </w:t>
      </w:r>
      <w:r w:rsidRPr="00C06811">
        <w:t>Предполагалось осуществить меры как краткосрочного, так и долгосрочного характера, которые включали в себя</w:t>
      </w:r>
      <w:r w:rsidR="00C06811" w:rsidRPr="00C06811">
        <w:t>:</w:t>
      </w:r>
    </w:p>
    <w:p w:rsidR="00C06811" w:rsidRDefault="00D53C7E" w:rsidP="00C06811">
      <w:pPr>
        <w:ind w:firstLine="709"/>
      </w:pPr>
      <w:r w:rsidRPr="00C06811">
        <w:t>• значительное сокращение существующих источников роста денежного предложения</w:t>
      </w:r>
      <w:r w:rsidR="0058708B" w:rsidRPr="00C06811">
        <w:t>,</w:t>
      </w:r>
      <w:r w:rsidRPr="00C06811">
        <w:t xml:space="preserve"> включая сокращение бюджетного дефицита,</w:t>
      </w:r>
      <w:r w:rsidR="00C06811">
        <w:t xml:space="preserve"> "</w:t>
      </w:r>
      <w:r w:rsidRPr="00C06811">
        <w:t>дорогие кредиты</w:t>
      </w:r>
      <w:r w:rsidR="00C06811">
        <w:t xml:space="preserve">" </w:t>
      </w:r>
      <w:r w:rsidRPr="00C06811">
        <w:t>Центрального банка, изменение формул индексации и усиление контроля над заработной платой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унификацию обменного курса</w:t>
      </w:r>
      <w:r w:rsidR="00C06811">
        <w:t xml:space="preserve"> (</w:t>
      </w:r>
      <w:r w:rsidRPr="00C06811">
        <w:t>вначале предполагавшую проведение девальвации официального обменного курса</w:t>
      </w:r>
      <w:r w:rsidR="00C06811" w:rsidRPr="00C06811">
        <w:t xml:space="preserve">) </w:t>
      </w:r>
      <w:r w:rsidRPr="00C06811">
        <w:t>и конвертируемость валюты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ликвидацию субсидирования и налоговые льготы в отношении экспортных производителей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резкое снижение внутренних субсидий и установление соответствия между внутренними и мировыми ценами посредством унификации обменного курса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установление рыночных процентных ставок на кредитных рынках</w:t>
      </w:r>
      <w:r w:rsidR="00C06811">
        <w:t xml:space="preserve"> (</w:t>
      </w:r>
      <w:r w:rsidRPr="00C06811">
        <w:t>использование на практике положительных реальных ставок процента</w:t>
      </w:r>
      <w:r w:rsidR="00C06811" w:rsidRPr="00C06811">
        <w:t>);</w:t>
      </w:r>
    </w:p>
    <w:p w:rsidR="00C06811" w:rsidRDefault="00D53C7E" w:rsidP="00C06811">
      <w:pPr>
        <w:ind w:firstLine="709"/>
      </w:pPr>
      <w:r w:rsidRPr="00C06811">
        <w:t>• политику в сфере доходов, направленную на удержание уровня заработной платы ниже уровня инфляции во время периода сокращения субсидий и ухудшения финансового состояния предприятий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улучшение положения в сфере собираемости налогов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фундаментальную реформу налоговой системы в следующем году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повышение ставок оплаты жилищно-коммунальных услуг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конверсию оборонной промышленности</w:t>
      </w:r>
      <w:r w:rsidR="00C06811" w:rsidRPr="00C06811">
        <w:t>;</w:t>
      </w:r>
    </w:p>
    <w:p w:rsidR="00D53C7E" w:rsidRPr="00C06811" w:rsidRDefault="00D53C7E" w:rsidP="00C06811">
      <w:pPr>
        <w:ind w:firstLine="709"/>
      </w:pPr>
      <w:r w:rsidRPr="00C06811">
        <w:t>• ликвидацию и/или ослабление ценового контроля</w:t>
      </w:r>
      <w:r w:rsidR="00C06811" w:rsidRPr="00C06811">
        <w:t xml:space="preserve">. </w:t>
      </w:r>
      <w:r w:rsidR="00C94A33" w:rsidRPr="00C06811">
        <w:rPr>
          <w:rStyle w:val="a8"/>
          <w:color w:val="000000"/>
        </w:rPr>
        <w:footnoteReference w:id="2"/>
      </w:r>
    </w:p>
    <w:p w:rsidR="00C06811" w:rsidRDefault="00D53C7E" w:rsidP="00C06811">
      <w:pPr>
        <w:ind w:firstLine="709"/>
      </w:pPr>
      <w:r w:rsidRPr="00C06811">
        <w:t>Структурная перестройка должна была поддержать развитие частных компаний, приватизацию значительной части государственных предприятий</w:t>
      </w:r>
      <w:r w:rsidR="00C06811">
        <w:t xml:space="preserve"> (</w:t>
      </w:r>
      <w:r w:rsidRPr="00C06811">
        <w:t>на тот момент государственные предприятия составляли 90</w:t>
      </w:r>
      <w:r w:rsidR="00C06811" w:rsidRPr="00C06811">
        <w:t>%</w:t>
      </w:r>
      <w:r w:rsidRPr="00C06811">
        <w:t xml:space="preserve"> общего числа несельскохозяйственных предприятий</w:t>
      </w:r>
      <w:r w:rsidR="00C06811" w:rsidRPr="00C06811">
        <w:t xml:space="preserve">) </w:t>
      </w:r>
      <w:r w:rsidRPr="00C06811">
        <w:t>и способствовать ликвидации неэффективного производства</w:t>
      </w:r>
      <w:r w:rsidR="00C06811" w:rsidRPr="00C06811">
        <w:t xml:space="preserve">. </w:t>
      </w:r>
      <w:r w:rsidRPr="00C06811">
        <w:t>Проект налоговой реформы предполагал создание благоприятных условий для развития частного сектора и рынка капитала и должен был улучшить распределение финансовых средств</w:t>
      </w:r>
      <w:r w:rsidR="00C06811" w:rsidRPr="00C06811">
        <w:t xml:space="preserve">. </w:t>
      </w:r>
      <w:r w:rsidRPr="00C06811">
        <w:t>Эти цели были достигнуты путем проведения следующих мероприятий</w:t>
      </w:r>
      <w:r w:rsidR="00C06811" w:rsidRPr="00C06811">
        <w:t>:</w:t>
      </w:r>
    </w:p>
    <w:p w:rsidR="00C06811" w:rsidRDefault="00D53C7E" w:rsidP="00C06811">
      <w:pPr>
        <w:ind w:firstLine="709"/>
      </w:pPr>
      <w:r w:rsidRPr="00C06811">
        <w:t xml:space="preserve">• упрощения системы налогообложения и снижения предельных ставок </w:t>
      </w:r>
      <w:r w:rsidR="006523FC" w:rsidRPr="00C06811">
        <w:t>налогообложения,</w:t>
      </w:r>
      <w:r w:rsidRPr="00C06811">
        <w:t xml:space="preserve"> как для юридических, так и для физических лиц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унификации обменного курса и свободной конвертируемости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ликвидации импортного и экспортного лицензирования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создания фондовых бирж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создания банковской системы с привлечением частного капитала и обеспечения условий для вхождения на рынок банковского капитала иностранных участников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быстрого прохождения законов, касающихся приватизации, которые позволяли осуществлять продажу активов в различной форме</w:t>
      </w:r>
      <w:r w:rsidR="00C06811" w:rsidRPr="00C06811">
        <w:t xml:space="preserve">; </w:t>
      </w:r>
      <w:r w:rsidRPr="00C06811">
        <w:t xml:space="preserve">особые права по приобретению активов были предоставлены тем, кто </w:t>
      </w:r>
      <w:r w:rsidR="00D92127" w:rsidRPr="00C06811">
        <w:t>был,</w:t>
      </w:r>
      <w:r w:rsidRPr="00C06811">
        <w:t xml:space="preserve"> непосредственно затронут приватизацией</w:t>
      </w:r>
      <w:r w:rsidR="00C06811">
        <w:t xml:space="preserve"> (</w:t>
      </w:r>
      <w:r w:rsidRPr="00C06811">
        <w:t>это было принято под влиянием профсоюзов</w:t>
      </w:r>
      <w:r w:rsidR="00C06811" w:rsidRPr="00C06811">
        <w:t>),</w:t>
      </w:r>
      <w:r w:rsidRPr="00C06811">
        <w:t xml:space="preserve"> и включали различные планы приватизации для сотрудников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улучшения работы государственных предприятий, в частности путем устранения мягких бюджетных ограничений и внедрения банковских процедур при одновременном усилении роли антимонопольных органов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развития инфраструктуры</w:t>
      </w:r>
      <w:r w:rsidR="00C06811">
        <w:t xml:space="preserve"> (</w:t>
      </w:r>
      <w:r w:rsidRPr="00C06811">
        <w:t>телекоммуникации, защита окружающей среды, НИР, здравоохранение</w:t>
      </w:r>
      <w:r w:rsidR="00C06811" w:rsidRPr="00C06811">
        <w:t>);</w:t>
      </w:r>
    </w:p>
    <w:p w:rsidR="00C06811" w:rsidRDefault="00D53C7E" w:rsidP="00C06811">
      <w:pPr>
        <w:ind w:firstLine="709"/>
      </w:pPr>
      <w:r w:rsidRPr="00C06811">
        <w:t>• активного привлечения международного капитала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С самого начала реформ правительство сознавало, что крупномасштабное распределение рабочей силы потребует частичной ее переквалификации и развития системы компенсационных выплат, необходимых для минимизации социальных издержек</w:t>
      </w:r>
      <w:r w:rsidR="00C06811" w:rsidRPr="00C06811">
        <w:t xml:space="preserve">. </w:t>
      </w:r>
      <w:r w:rsidRPr="00C06811">
        <w:t>Географическая мобильность капитала должна была быть улучшена посредством упорядочения процедуры продажи домов, что достигалось благодаря адаптации рентных ставок к рыночному уровню и введению соответствующих налогов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Техническая и финансовая помощь требовалась для проведения реформ и ослабления долговой нагрузки в течение следующего года, а также для общего снижения будущих долговых обязательств</w:t>
      </w:r>
      <w:r w:rsidR="00C06811" w:rsidRPr="00C06811">
        <w:t xml:space="preserve">. </w:t>
      </w:r>
      <w:r w:rsidRPr="00C06811">
        <w:t>Финансовая и техническая помощь были оговорены в соглашении о резервировании с МВФ</w:t>
      </w:r>
      <w:r w:rsidR="00C06811" w:rsidRPr="00C06811">
        <w:t xml:space="preserve">. </w:t>
      </w:r>
      <w:r w:rsidRPr="00C06811">
        <w:t>Заем на структурную перестройку предполагалось получить от Всемирного банка</w:t>
      </w:r>
      <w:r w:rsidR="00C06811" w:rsidRPr="00C06811">
        <w:t xml:space="preserve">. </w:t>
      </w:r>
      <w:r w:rsidRPr="00C06811">
        <w:t>Помощь также включала в себя стабилизационный заем от стран</w:t>
      </w:r>
      <w:r w:rsidR="00C06811">
        <w:t xml:space="preserve"> "</w:t>
      </w:r>
      <w:r w:rsidRPr="00C06811">
        <w:t>большой семерки</w:t>
      </w:r>
      <w:r w:rsidR="00C06811">
        <w:t xml:space="preserve">" </w:t>
      </w:r>
      <w:r w:rsidRPr="00C06811">
        <w:t>и поддержку международных резервов Польши</w:t>
      </w:r>
      <w:r w:rsidR="00C06811" w:rsidRPr="00C06811">
        <w:t xml:space="preserve">. </w:t>
      </w:r>
      <w:r w:rsidRPr="00C06811">
        <w:t>Кроме того, польские власти декларировали курс на объединение с Европейским союзом</w:t>
      </w:r>
      <w:r w:rsidR="00C06811" w:rsidRPr="00C06811">
        <w:t xml:space="preserve">. </w:t>
      </w:r>
      <w:r w:rsidRPr="00C06811">
        <w:t>В течение первых месяцев стабилизации правительство рассматривало также вопрос о необходимости поставок продуктов питания в форме международной помощи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Согласованность реформ была тщате</w:t>
      </w:r>
      <w:r w:rsidR="00F81483" w:rsidRPr="00C06811">
        <w:t>льно спланирована до конца</w:t>
      </w:r>
      <w:r w:rsidR="00C06811" w:rsidRPr="00C06811">
        <w:t xml:space="preserve"> </w:t>
      </w:r>
      <w:r w:rsidR="00F81483" w:rsidRPr="00C06811">
        <w:t>1991</w:t>
      </w:r>
      <w:r w:rsidR="00D92127" w:rsidRPr="00C06811">
        <w:t xml:space="preserve"> </w:t>
      </w:r>
      <w:r w:rsidRPr="00C06811">
        <w:t>г</w:t>
      </w:r>
      <w:r w:rsidR="00C06811" w:rsidRPr="00C06811">
        <w:t xml:space="preserve">. </w:t>
      </w:r>
      <w:r w:rsidRPr="00C06811">
        <w:t>Первая волна реформ включала все стабилизационные мероприятия, направленные на борьбу с гиперинфляцией</w:t>
      </w:r>
      <w:r w:rsidR="00C06811" w:rsidRPr="00C06811">
        <w:t xml:space="preserve">. </w:t>
      </w:r>
      <w:r w:rsidRPr="00C06811">
        <w:t>В последующие периоды действия правительства были сконцентрированы в сфере сокращения инфляции и проведения фискальных мероприятий</w:t>
      </w:r>
      <w:r w:rsidR="00C06811" w:rsidRPr="00C06811">
        <w:t xml:space="preserve">. </w:t>
      </w:r>
      <w:r w:rsidRPr="00C06811">
        <w:t>С самого начала запуска программы также рассматривались вопросы осуществления институциональных изменений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Первые достижения конца 1989 г</w:t>
      </w:r>
      <w:r w:rsidR="00C06811" w:rsidRPr="00C06811">
        <w:t xml:space="preserve">. </w:t>
      </w:r>
      <w:r w:rsidRPr="00C06811">
        <w:t>были вполне убедительны</w:t>
      </w:r>
      <w:r w:rsidR="00C06811" w:rsidRPr="00C06811">
        <w:t xml:space="preserve">. </w:t>
      </w:r>
      <w:r w:rsidRPr="00C06811">
        <w:t>Совокупный бюджетный дефицит был снижен на 30</w:t>
      </w:r>
      <w:r w:rsidR="00C06811" w:rsidRPr="00C06811">
        <w:t>%</w:t>
      </w:r>
      <w:r w:rsidRPr="00C06811">
        <w:t>, что соотносилась с величиной, предусмотренной в плане</w:t>
      </w:r>
      <w:r w:rsidR="00C06811" w:rsidRPr="00C06811">
        <w:t xml:space="preserve">. </w:t>
      </w:r>
      <w:r w:rsidRPr="00C06811">
        <w:t>Кредитование негосударственного сектора было уменьшено на 60</w:t>
      </w:r>
      <w:r w:rsidR="00C06811" w:rsidRPr="00C06811">
        <w:t>%</w:t>
      </w:r>
      <w:r w:rsidRPr="00C06811">
        <w:t xml:space="preserve"> в реальных величинах и примерно на такую же величину было сокращено реальное предложение денег</w:t>
      </w:r>
      <w:r w:rsidR="00C06811" w:rsidRPr="00C06811">
        <w:t xml:space="preserve">. </w:t>
      </w:r>
      <w:r w:rsidRPr="00C06811">
        <w:t>Рост заработной платы был существенно ограничен</w:t>
      </w:r>
      <w:r w:rsidR="00C06811">
        <w:t xml:space="preserve"> (</w:t>
      </w:r>
      <w:r w:rsidRPr="00C06811">
        <w:t xml:space="preserve">прежде </w:t>
      </w:r>
      <w:r w:rsidR="00F81483" w:rsidRPr="00C06811">
        <w:t>всего,</w:t>
      </w:r>
      <w:r w:rsidRPr="00C06811">
        <w:t xml:space="preserve"> посредством прогрессивной ставки налогообложения</w:t>
      </w:r>
      <w:r w:rsidR="00C06811" w:rsidRPr="00C06811">
        <w:t xml:space="preserve">). </w:t>
      </w:r>
      <w:r w:rsidRPr="00C06811">
        <w:t>В реальном выражении она выросла на 10</w:t>
      </w:r>
      <w:r w:rsidR="00C06811" w:rsidRPr="00C06811">
        <w:t>%</w:t>
      </w:r>
      <w:r w:rsidR="00C06811">
        <w:t xml:space="preserve"> (</w:t>
      </w:r>
      <w:r w:rsidRPr="00C06811">
        <w:t>в сравнении с 15</w:t>
      </w:r>
      <w:r w:rsidR="00C06811" w:rsidRPr="00C06811">
        <w:t>%</w:t>
      </w:r>
      <w:r w:rsidRPr="00C06811">
        <w:t xml:space="preserve"> в 1988 г</w:t>
      </w:r>
      <w:r w:rsidR="00C06811" w:rsidRPr="00C06811">
        <w:t xml:space="preserve">). </w:t>
      </w:r>
      <w:r w:rsidRPr="00C06811">
        <w:t>Благодаря быстрой девальвации польского злотого между курсом черного рынка и официальным был уменьшен до 40</w:t>
      </w:r>
      <w:r w:rsidR="00C06811" w:rsidRPr="00C06811">
        <w:t>%</w:t>
      </w:r>
      <w:r w:rsidRPr="00C06811">
        <w:t xml:space="preserve"> по сравнению с 300</w:t>
      </w:r>
      <w:r w:rsidR="00C06811" w:rsidRPr="00C06811">
        <w:t xml:space="preserve"> - </w:t>
      </w:r>
      <w:r w:rsidRPr="00C06811">
        <w:t>400</w:t>
      </w:r>
      <w:r w:rsidR="00C06811" w:rsidRPr="00C06811">
        <w:t>%</w:t>
      </w:r>
      <w:r w:rsidRPr="00C06811">
        <w:t xml:space="preserve"> в 80-х годах</w:t>
      </w:r>
      <w:r w:rsidR="00C06811" w:rsidRPr="00C06811">
        <w:t xml:space="preserve">. </w:t>
      </w:r>
      <w:r w:rsidRPr="00C06811">
        <w:t>Зарубежная помощь в форме продуктов питания также помогла ликвидировать дефицит, возникший вследствие падения производства</w:t>
      </w:r>
      <w:r w:rsidR="00C06811" w:rsidRPr="00C06811">
        <w:t xml:space="preserve">. </w:t>
      </w:r>
      <w:r w:rsidR="00FD69DE" w:rsidRPr="00C06811">
        <w:t>И,</w:t>
      </w:r>
      <w:r w:rsidRPr="00C06811">
        <w:t xml:space="preserve"> тем не </w:t>
      </w:r>
      <w:r w:rsidR="00FD69DE" w:rsidRPr="00C06811">
        <w:t>менее,</w:t>
      </w:r>
      <w:r w:rsidRPr="00C06811">
        <w:t xml:space="preserve"> инфляция к концу года достигла 640</w:t>
      </w:r>
      <w:r w:rsidR="00C06811" w:rsidRPr="00C06811">
        <w:t xml:space="preserve">%. </w:t>
      </w:r>
      <w:r w:rsidRPr="00C06811">
        <w:t>Несмотря на это, ключевой пакет реформ, запущенный 1 ян</w:t>
      </w:r>
      <w:r w:rsidR="00F81483" w:rsidRPr="00C06811">
        <w:t>варя 1990</w:t>
      </w:r>
      <w:r w:rsidRPr="00C06811">
        <w:t>г</w:t>
      </w:r>
      <w:r w:rsidR="00C06811">
        <w:t>.,</w:t>
      </w:r>
      <w:r w:rsidRPr="00C06811">
        <w:t xml:space="preserve"> был подкреплен созданием стабилизационного фонда в размере 1 млрд</w:t>
      </w:r>
      <w:r w:rsidR="00C06811" w:rsidRPr="00C06811">
        <w:t xml:space="preserve">. </w:t>
      </w:r>
      <w:r w:rsidRPr="00C06811">
        <w:t>долл</w:t>
      </w:r>
      <w:r w:rsidR="00C06811">
        <w:t>.,</w:t>
      </w:r>
      <w:r w:rsidRPr="00C06811">
        <w:t xml:space="preserve"> предоставленного странами</w:t>
      </w:r>
      <w:r w:rsidR="00C06811">
        <w:t xml:space="preserve"> "</w:t>
      </w:r>
      <w:r w:rsidRPr="00C06811">
        <w:t>большой семерки</w:t>
      </w:r>
      <w:r w:rsidR="00C06811">
        <w:t xml:space="preserve">" </w:t>
      </w:r>
      <w:r w:rsidRPr="00C06811">
        <w:t>для поддерж</w:t>
      </w:r>
      <w:r w:rsidR="00F81483" w:rsidRPr="00C06811">
        <w:t>ания злотого на протяжении 1990</w:t>
      </w:r>
      <w:r w:rsidR="00FD69DE" w:rsidRPr="00C06811">
        <w:t xml:space="preserve"> </w:t>
      </w:r>
      <w:r w:rsidRPr="00C06811">
        <w:t>г</w:t>
      </w:r>
      <w:r w:rsidR="00C06811" w:rsidRPr="00C06811">
        <w:t>.</w:t>
      </w:r>
    </w:p>
    <w:p w:rsidR="00C06811" w:rsidRDefault="00C06811" w:rsidP="00C06811">
      <w:pPr>
        <w:ind w:firstLine="709"/>
      </w:pPr>
    </w:p>
    <w:p w:rsidR="00C06811" w:rsidRPr="00C06811" w:rsidRDefault="00C06811" w:rsidP="00C06811">
      <w:pPr>
        <w:pStyle w:val="2"/>
      </w:pPr>
      <w:bookmarkStart w:id="4" w:name="_Toc256627449"/>
      <w:r>
        <w:t xml:space="preserve">2.2 </w:t>
      </w:r>
      <w:r w:rsidR="00B85AE0" w:rsidRPr="00C06811">
        <w:t>Структурные реформы, либерализация и приватизация</w:t>
      </w:r>
      <w:bookmarkEnd w:id="4"/>
    </w:p>
    <w:p w:rsidR="00C06811" w:rsidRDefault="00C06811" w:rsidP="00C06811">
      <w:pPr>
        <w:ind w:firstLine="709"/>
      </w:pPr>
    </w:p>
    <w:p w:rsidR="00C06811" w:rsidRDefault="00B85AE0" w:rsidP="00C06811">
      <w:pPr>
        <w:ind w:firstLine="709"/>
      </w:pPr>
      <w:r w:rsidRPr="00C06811">
        <w:t>Либерализация польской экономики началась летом 1989 г</w:t>
      </w:r>
      <w:r w:rsidR="00C06811" w:rsidRPr="00C06811">
        <w:t xml:space="preserve">. </w:t>
      </w:r>
      <w:r w:rsidRPr="00C06811">
        <w:t xml:space="preserve">Она </w:t>
      </w:r>
      <w:r w:rsidR="0073583B" w:rsidRPr="00C06811">
        <w:t>включала,</w:t>
      </w:r>
      <w:r w:rsidRPr="00C06811">
        <w:t xml:space="preserve"> прежде </w:t>
      </w:r>
      <w:r w:rsidR="0073583B" w:rsidRPr="00C06811">
        <w:t>всего,</w:t>
      </w:r>
      <w:r w:rsidRPr="00C06811">
        <w:t xml:space="preserve"> либерализацию цен на сельскохозяйственную продукцию, что в условиях дефицита привело к гиперинфляции</w:t>
      </w:r>
      <w:r w:rsidR="00C06811" w:rsidRPr="00C06811">
        <w:t xml:space="preserve">. </w:t>
      </w:r>
      <w:r w:rsidRPr="00C06811">
        <w:t>Меры правительства, большинство которого составляли представители движения</w:t>
      </w:r>
      <w:r w:rsidR="00C06811">
        <w:t xml:space="preserve"> "</w:t>
      </w:r>
      <w:r w:rsidRPr="00C06811">
        <w:t>Солидарность</w:t>
      </w:r>
      <w:r w:rsidR="00C06811">
        <w:t xml:space="preserve">", </w:t>
      </w:r>
      <w:r w:rsidRPr="00C06811">
        <w:t>в 1989 г</w:t>
      </w:r>
      <w:r w:rsidR="00C06811" w:rsidRPr="00C06811">
        <w:t xml:space="preserve">. </w:t>
      </w:r>
      <w:r w:rsidRPr="00C06811">
        <w:t>перед началом реализации стабилизационной программы включали сокращение субсидий угледобывающим предприятиям, ряда продовольственных субсидий и инвестиции в сельскохозяйственное производство</w:t>
      </w:r>
      <w:r w:rsidR="00C06811" w:rsidRPr="00C06811">
        <w:t>.</w:t>
      </w:r>
    </w:p>
    <w:p w:rsidR="00C06811" w:rsidRDefault="00B85AE0" w:rsidP="00C06811">
      <w:pPr>
        <w:ind w:firstLine="709"/>
      </w:pPr>
      <w:r w:rsidRPr="00C06811">
        <w:t>Стабилизационный пакет 1990 г</w:t>
      </w:r>
      <w:r w:rsidR="00C06811" w:rsidRPr="00C06811">
        <w:t xml:space="preserve">. </w:t>
      </w:r>
      <w:r w:rsidRPr="00C06811">
        <w:t>отражал важность структурных реформ, которые проводились одновременно с основной программой</w:t>
      </w:r>
      <w:r w:rsidR="00C06811" w:rsidRPr="00C06811">
        <w:t xml:space="preserve">. </w:t>
      </w:r>
      <w:r w:rsidRPr="00C06811">
        <w:t>Меры по стабилизации, предпринятые в 1990 г</w:t>
      </w:r>
      <w:r w:rsidR="00C06811">
        <w:t>.,</w:t>
      </w:r>
      <w:r w:rsidRPr="00C06811">
        <w:t xml:space="preserve"> были направлены на устранение неэффективного распределения ресурсов, что в первый период реформ было достигнуто за счет ценовой либерализации</w:t>
      </w:r>
      <w:r w:rsidR="00C06811" w:rsidRPr="00C06811">
        <w:t xml:space="preserve">. </w:t>
      </w:r>
      <w:r w:rsidRPr="00C06811">
        <w:t>Все остававшиеся под контролем цены были</w:t>
      </w:r>
      <w:r w:rsidR="00C06811">
        <w:t xml:space="preserve"> "</w:t>
      </w:r>
      <w:r w:rsidRPr="00C06811">
        <w:t>отпущены</w:t>
      </w:r>
      <w:r w:rsidR="00C06811">
        <w:t xml:space="preserve">", </w:t>
      </w:r>
      <w:r w:rsidRPr="00C06811">
        <w:t>и только 3</w:t>
      </w:r>
      <w:r w:rsidR="00C06811" w:rsidRPr="00C06811">
        <w:t xml:space="preserve"> - </w:t>
      </w:r>
      <w:r w:rsidRPr="00C06811">
        <w:t>5% совокупной стоимости потребительских товаров и услуг</w:t>
      </w:r>
      <w:r w:rsidR="00C06811">
        <w:t xml:space="preserve"> (</w:t>
      </w:r>
      <w:r w:rsidRPr="00C06811">
        <w:t>рентные ставки, цены на жилищно-коммунальные услуги и тарифы на пользование общественным транспортом</w:t>
      </w:r>
      <w:r w:rsidR="00C06811" w:rsidRPr="00C06811">
        <w:t xml:space="preserve">) </w:t>
      </w:r>
      <w:r w:rsidRPr="00C06811">
        <w:t>оставались под контролем государства</w:t>
      </w:r>
      <w:r w:rsidR="00C06811" w:rsidRPr="00C06811">
        <w:t xml:space="preserve">. </w:t>
      </w:r>
      <w:r w:rsidRPr="00C06811">
        <w:t>Кроме того, основные изменения коснулись цен на энергоресурсы</w:t>
      </w:r>
      <w:r w:rsidR="00C06811">
        <w:t xml:space="preserve"> (</w:t>
      </w:r>
      <w:r w:rsidRPr="00C06811">
        <w:t>например, 400</w:t>
      </w:r>
      <w:r w:rsidR="00C06811">
        <w:t>% -</w:t>
      </w:r>
      <w:r w:rsidRPr="00C06811">
        <w:t>ный рост цен за пользование ими для домашних хозяйств в январе 1990 г</w:t>
      </w:r>
      <w:r w:rsidR="00C06811" w:rsidRPr="00C06811">
        <w:t xml:space="preserve">). </w:t>
      </w:r>
      <w:r w:rsidRPr="00C06811">
        <w:t>Минимальные гарантированные цены, которые выплачивались государственными снабженческими организациями производителям сельскохозяйственной продукции, были отменены</w:t>
      </w:r>
      <w:r w:rsidR="00C06811" w:rsidRPr="00C06811">
        <w:t>.</w:t>
      </w:r>
    </w:p>
    <w:p w:rsidR="00C06811" w:rsidRDefault="00B85AE0" w:rsidP="00C06811">
      <w:pPr>
        <w:ind w:firstLine="709"/>
      </w:pPr>
      <w:r w:rsidRPr="00C06811">
        <w:t>Либерализация также охватывала и экономическую деятельность</w:t>
      </w:r>
      <w:r w:rsidR="00C06811" w:rsidRPr="00C06811">
        <w:t xml:space="preserve">. </w:t>
      </w:r>
      <w:r w:rsidRPr="00C06811">
        <w:t>Новый закон</w:t>
      </w:r>
      <w:r w:rsidR="00C06811">
        <w:t xml:space="preserve"> "</w:t>
      </w:r>
      <w:r w:rsidRPr="00C06811">
        <w:t>О предпринимательской деятельности</w:t>
      </w:r>
      <w:r w:rsidR="00C06811">
        <w:t xml:space="preserve">" </w:t>
      </w:r>
      <w:r w:rsidRPr="00C06811">
        <w:t>предполагал недискриминационное развитие государственного и частного секторов, устранял барьеры для частных предприятий и разрешал частную предпринимательскую деятельность во всех сферах экономики страны</w:t>
      </w:r>
      <w:r w:rsidR="00C06811" w:rsidRPr="00C06811">
        <w:t xml:space="preserve">. </w:t>
      </w:r>
      <w:r w:rsidRPr="00C06811">
        <w:t>Закон</w:t>
      </w:r>
      <w:r w:rsidR="00C06811">
        <w:t xml:space="preserve"> "</w:t>
      </w:r>
      <w:r w:rsidRPr="00C06811">
        <w:t>Об иностранных инвестициях</w:t>
      </w:r>
      <w:r w:rsidR="00C06811">
        <w:t xml:space="preserve">" </w:t>
      </w:r>
      <w:r w:rsidRPr="00C06811">
        <w:t>отменял ограничения на долю акционерного капитала, которой могли владеть иностранные инвесторы</w:t>
      </w:r>
      <w:r w:rsidR="00C06811" w:rsidRPr="00C06811">
        <w:t xml:space="preserve">. </w:t>
      </w:r>
      <w:r w:rsidRPr="00C06811">
        <w:t>В банковской системе также происходили изменения</w:t>
      </w:r>
      <w:r w:rsidR="00C06811" w:rsidRPr="00C06811">
        <w:t xml:space="preserve">. </w:t>
      </w:r>
      <w:r w:rsidRPr="00C06811">
        <w:t>Одной из первых мер стало превращение государственных банков в коммерческие, что было необходимо с точки зрения предоставления им права вести собственную независимую политику и возможности готовиться к приватизации</w:t>
      </w:r>
      <w:r w:rsidR="00C06811" w:rsidRPr="00C06811">
        <w:t>.</w:t>
      </w:r>
    </w:p>
    <w:p w:rsidR="00C06811" w:rsidRDefault="00B85AE0" w:rsidP="00C06811">
      <w:pPr>
        <w:ind w:firstLine="709"/>
      </w:pPr>
      <w:r w:rsidRPr="00C06811">
        <w:t>Польская программа приватизации базировалась на концепции индивидуальных продаж предприятий</w:t>
      </w:r>
      <w:r w:rsidR="00C06811">
        <w:t xml:space="preserve"> (</w:t>
      </w:r>
      <w:r w:rsidRPr="00C06811">
        <w:t>case-by-case sale of enterprises</w:t>
      </w:r>
      <w:r w:rsidR="00C06811" w:rsidRPr="00C06811">
        <w:t>),</w:t>
      </w:r>
      <w:r w:rsidRPr="00C06811">
        <w:t xml:space="preserve"> что называлось также денежной приватизацией</w:t>
      </w:r>
      <w:r w:rsidR="00C06811">
        <w:t xml:space="preserve"> (</w:t>
      </w:r>
      <w:r w:rsidRPr="00C06811">
        <w:t>capital privatization</w:t>
      </w:r>
      <w:r w:rsidR="00C06811" w:rsidRPr="00C06811">
        <w:t>),</w:t>
      </w:r>
      <w:r w:rsidRPr="00C06811">
        <w:t xml:space="preserve"> поскольку основным правилом при покупке государственных активов в период проведения приватизационных тендеров была их покупка за наличные</w:t>
      </w:r>
      <w:r w:rsidR="00C06811" w:rsidRPr="00C06811">
        <w:t xml:space="preserve">. </w:t>
      </w:r>
      <w:r w:rsidRPr="00C06811">
        <w:t>Преимущества такого подхода выражались в транспарентности структуры собственности, поскольку только отраслевые инвесторы имели желание инвестировать в приватизируемые предприятия</w:t>
      </w:r>
      <w:r w:rsidR="00C06811" w:rsidRPr="00C06811">
        <w:t xml:space="preserve">; </w:t>
      </w:r>
      <w:r w:rsidRPr="00C06811">
        <w:t>получении бюджетом значительных финансовых ресурсов в результате проведенных тендеров</w:t>
      </w:r>
      <w:r w:rsidR="00C06811" w:rsidRPr="00C06811">
        <w:t xml:space="preserve">; </w:t>
      </w:r>
      <w:r w:rsidRPr="00C06811">
        <w:t>сокращении прямых и косвенных субсидий приватизированным предприятиям</w:t>
      </w:r>
      <w:r w:rsidR="00C06811" w:rsidRPr="00C06811">
        <w:t xml:space="preserve">. </w:t>
      </w:r>
      <w:r w:rsidRPr="00C06811">
        <w:t>В числе недостатков следует отметить достаточно продолжительную процедуру приватизации, которая длилась, как минимум, девять месяцев, и издержки ее проведения</w:t>
      </w:r>
      <w:r w:rsidR="00C06811" w:rsidRPr="00C06811">
        <w:t xml:space="preserve">. </w:t>
      </w:r>
      <w:r w:rsidRPr="00C06811">
        <w:t>Кроме того, продажа государственных активов за наличные предполагала, что сначала будут приватизированы наиболее перспективные предприятия</w:t>
      </w:r>
      <w:r w:rsidR="00C06811" w:rsidRPr="00C06811">
        <w:t xml:space="preserve">. </w:t>
      </w:r>
      <w:r w:rsidRPr="00C06811">
        <w:t>Несмотря на это, приватизация продолжалась и далее, хотя масштабы ее уже были незначительны</w:t>
      </w:r>
      <w:r w:rsidR="00C06811" w:rsidRPr="00C06811">
        <w:t>.</w:t>
      </w:r>
    </w:p>
    <w:p w:rsidR="00C06811" w:rsidRDefault="00B85AE0" w:rsidP="00C06811">
      <w:pPr>
        <w:ind w:firstLine="709"/>
      </w:pPr>
      <w:r w:rsidRPr="00C06811">
        <w:t>Либерализация коснулась также отношений реального сектора с бюджетом</w:t>
      </w:r>
      <w:r w:rsidR="00C06811" w:rsidRPr="00C06811">
        <w:t xml:space="preserve">. </w:t>
      </w:r>
      <w:r w:rsidRPr="00C06811">
        <w:t xml:space="preserve">С одной стороны, </w:t>
      </w:r>
      <w:r w:rsidR="0073583B" w:rsidRPr="00C06811">
        <w:t>большая</w:t>
      </w:r>
      <w:r w:rsidRPr="00C06811">
        <w:t xml:space="preserve"> часть субсидий государственным предприятиям была отменена, с другой</w:t>
      </w:r>
      <w:r w:rsidR="00C06811" w:rsidRPr="00C06811">
        <w:t xml:space="preserve"> - </w:t>
      </w:r>
      <w:r w:rsidRPr="00C06811">
        <w:t>предприятия подверглись более жесткому налогообложению</w:t>
      </w:r>
      <w:r w:rsidR="00C06811" w:rsidRPr="00C06811">
        <w:t xml:space="preserve">. </w:t>
      </w:r>
      <w:r w:rsidRPr="00C06811">
        <w:t>Однако большие государственные предприятия по-прежнему имели возможность использовать преференции со стороны государства, в частности, прощение части налогов</w:t>
      </w:r>
      <w:r w:rsidR="00C06811" w:rsidRPr="00C06811">
        <w:t xml:space="preserve">. </w:t>
      </w:r>
      <w:r w:rsidRPr="00C06811">
        <w:t>Также была либерализирована кредитная политика</w:t>
      </w:r>
      <w:r w:rsidR="00C06811" w:rsidRPr="00C06811">
        <w:t xml:space="preserve">. </w:t>
      </w:r>
      <w:r w:rsidRPr="00C06811">
        <w:t>Так, большинство преференциальных ставок на специфичные кредитные линии было отменено</w:t>
      </w:r>
      <w:r w:rsidR="00C06811">
        <w:t xml:space="preserve"> (</w:t>
      </w:r>
      <w:r w:rsidRPr="00C06811">
        <w:t>за исключением ставок, распространяющихся на жилищно-коммунальную сферу и сельское хозяйство</w:t>
      </w:r>
      <w:r w:rsidR="00C06811" w:rsidRPr="00C06811">
        <w:t xml:space="preserve">). </w:t>
      </w:r>
      <w:r w:rsidRPr="00C06811">
        <w:t>Использование на практике положительной реальной ставки процента способствовало более эффективному распределению кредитных ресурсов</w:t>
      </w:r>
      <w:r w:rsidR="00C06811" w:rsidRPr="00C06811">
        <w:t xml:space="preserve">. </w:t>
      </w:r>
      <w:r w:rsidRPr="00C06811">
        <w:t xml:space="preserve">Ограничения на рост заработной платы, существовавшие во многих социалистических странах, служили в качестве одного из антиинфляционных механизмов </w:t>
      </w:r>
      <w:r w:rsidR="0073583B" w:rsidRPr="00C06811">
        <w:t>и,</w:t>
      </w:r>
      <w:r w:rsidRPr="00C06811">
        <w:t xml:space="preserve"> начиная с 1991 г</w:t>
      </w:r>
      <w:r w:rsidR="00C06811" w:rsidRPr="00C06811">
        <w:t xml:space="preserve">. </w:t>
      </w:r>
      <w:r w:rsidRPr="00C06811">
        <w:t>постепенно отменялись</w:t>
      </w:r>
      <w:r w:rsidR="00C06811" w:rsidRPr="00C06811">
        <w:t>.</w:t>
      </w:r>
    </w:p>
    <w:p w:rsidR="00C06811" w:rsidRDefault="00B85AE0" w:rsidP="00C06811">
      <w:pPr>
        <w:ind w:firstLine="709"/>
      </w:pPr>
      <w:r w:rsidRPr="00C06811">
        <w:t>Открытость экономики предполагала либерализацию внешнеэкономических отношений</w:t>
      </w:r>
      <w:r w:rsidR="00C06811" w:rsidRPr="00C06811">
        <w:t xml:space="preserve">. </w:t>
      </w:r>
      <w:r w:rsidRPr="00C06811">
        <w:t>По этой причине был принят новый закон</w:t>
      </w:r>
      <w:r w:rsidR="00C06811">
        <w:t xml:space="preserve"> "</w:t>
      </w:r>
      <w:r w:rsidRPr="00C06811">
        <w:t>Об обмене иностранной валюты</w:t>
      </w:r>
      <w:r w:rsidR="00C06811">
        <w:t xml:space="preserve">", </w:t>
      </w:r>
      <w:r w:rsidRPr="00C06811">
        <w:t>что дало возможность создавать частные независимые организации, которым было предоставлено право торговать иностранной валютой и пользоваться относительно неограниченным доступом к ней</w:t>
      </w:r>
      <w:r w:rsidR="00C06811" w:rsidRPr="00C06811">
        <w:t xml:space="preserve">. </w:t>
      </w:r>
      <w:r w:rsidRPr="00C06811">
        <w:t>Благодаря этому злотый стал конвертируемым</w:t>
      </w:r>
      <w:r w:rsidR="00C06811" w:rsidRPr="00C06811">
        <w:t xml:space="preserve">. </w:t>
      </w:r>
      <w:r w:rsidRPr="00C06811">
        <w:t>Большое количество изменений произошло также в сфере внешней торговли</w:t>
      </w:r>
      <w:r w:rsidR="00C06811" w:rsidRPr="00C06811">
        <w:t xml:space="preserve">. </w:t>
      </w:r>
      <w:r w:rsidRPr="00C06811">
        <w:t>Все количественные ограничения на импорт, касающиеся конвертируемости валюты, были отменены</w:t>
      </w:r>
      <w:r w:rsidR="00C06811">
        <w:t xml:space="preserve"> (</w:t>
      </w:r>
      <w:r w:rsidRPr="00C06811">
        <w:t>за некоторыми исключениями по причинам государственной безопасности</w:t>
      </w:r>
      <w:r w:rsidR="00C06811" w:rsidRPr="00C06811">
        <w:t xml:space="preserve">). </w:t>
      </w:r>
      <w:r w:rsidRPr="00C06811">
        <w:t>Импортные лицензии были либо отменены, либо процесс их выдачи был существенно упрощен</w:t>
      </w:r>
      <w:r w:rsidR="00C06811" w:rsidRPr="00C06811">
        <w:t xml:space="preserve">. </w:t>
      </w:r>
      <w:r w:rsidRPr="00C06811">
        <w:t>Были введены единые таможенные тарифы с временными дополнительными налогами на некоторые группы товаров на коммерческий и индивидуальный импорт</w:t>
      </w:r>
      <w:r w:rsidR="00C06811" w:rsidRPr="00C06811">
        <w:t xml:space="preserve">. </w:t>
      </w:r>
      <w:r w:rsidRPr="00C06811">
        <w:t xml:space="preserve">Либерализация </w:t>
      </w:r>
      <w:r w:rsidR="00E90B87" w:rsidRPr="00C06811">
        <w:t>экспорта,</w:t>
      </w:r>
      <w:r w:rsidRPr="00C06811">
        <w:t xml:space="preserve"> прежде </w:t>
      </w:r>
      <w:r w:rsidR="00E90B87" w:rsidRPr="00C06811">
        <w:t>всего,</w:t>
      </w:r>
      <w:r w:rsidRPr="00C06811">
        <w:t xml:space="preserve"> заключалась в 50</w:t>
      </w:r>
      <w:r w:rsidR="00C06811">
        <w:t>% -</w:t>
      </w:r>
      <w:r w:rsidRPr="00C06811">
        <w:t>ном сокращении списка товаров, на которые распространялись экспортные квоты</w:t>
      </w:r>
      <w:r w:rsidR="00C06811" w:rsidRPr="00C06811">
        <w:t xml:space="preserve">. </w:t>
      </w:r>
      <w:r w:rsidRPr="00C06811">
        <w:t>Важным изменением была отмена правила обменивать все экспортные доходы через структуры денежной власти</w:t>
      </w:r>
      <w:r w:rsidR="00C06811" w:rsidRPr="00C06811">
        <w:t>.</w:t>
      </w:r>
    </w:p>
    <w:p w:rsidR="00B85AE0" w:rsidRPr="00C06811" w:rsidRDefault="00B85AE0" w:rsidP="00C06811">
      <w:pPr>
        <w:ind w:firstLine="709"/>
      </w:pPr>
      <w:r w:rsidRPr="00C06811">
        <w:t>Дальнейшая либерализация торговли была стимулирована международными соглашениями с Ассоциацией свободной торговли в центрально-европейских странах</w:t>
      </w:r>
      <w:r w:rsidR="00C06811">
        <w:t xml:space="preserve"> (</w:t>
      </w:r>
      <w:r w:rsidRPr="00C06811">
        <w:t>CEFTA</w:t>
      </w:r>
      <w:r w:rsidR="00C06811" w:rsidRPr="00C06811">
        <w:t xml:space="preserve">) </w:t>
      </w:r>
      <w:r w:rsidRPr="00C06811">
        <w:t>и Европейской ассоциацией свободной торговли</w:t>
      </w:r>
      <w:r w:rsidR="00C06811">
        <w:t xml:space="preserve"> (</w:t>
      </w:r>
      <w:r w:rsidRPr="00C06811">
        <w:t>EFTA</w:t>
      </w:r>
      <w:r w:rsidR="00C06811" w:rsidRPr="00C06811">
        <w:t xml:space="preserve">) </w:t>
      </w:r>
      <w:r w:rsidRPr="00C06811">
        <w:t>соответственно в марте и ноябре 1993 г</w:t>
      </w:r>
      <w:r w:rsidR="00C06811" w:rsidRPr="00C06811">
        <w:t xml:space="preserve">. </w:t>
      </w:r>
      <w:r w:rsidRPr="00C06811">
        <w:t>В то же время были предприняты некоторые действия противоположного свойства</w:t>
      </w:r>
      <w:r w:rsidR="00C06811" w:rsidRPr="00C06811">
        <w:t xml:space="preserve">. </w:t>
      </w:r>
      <w:r w:rsidRPr="00C06811">
        <w:t>В феврале 1994 г</w:t>
      </w:r>
      <w:r w:rsidR="00C06811" w:rsidRPr="00C06811">
        <w:t xml:space="preserve">. </w:t>
      </w:r>
      <w:r w:rsidRPr="00C06811">
        <w:t>Европейский совет одобрил дальнейшее снижение импортных пошлин и увеличение квот</w:t>
      </w:r>
      <w:r w:rsidR="00C06811" w:rsidRPr="00C06811">
        <w:t xml:space="preserve">. </w:t>
      </w:r>
      <w:r w:rsidRPr="00C06811">
        <w:t>Также в июле 1993 г</w:t>
      </w:r>
      <w:r w:rsidR="00C06811" w:rsidRPr="00C06811">
        <w:t xml:space="preserve">. </w:t>
      </w:r>
      <w:r w:rsidRPr="00C06811">
        <w:t>Польша повысила уровень эффективности защиты некоторых конечных продуктов и товаров, произведенных в стране, снизив среднюю величину торгового тарифа на 1</w:t>
      </w:r>
      <w:r w:rsidR="00C06811" w:rsidRPr="00C06811">
        <w:t>%</w:t>
      </w:r>
      <w:r w:rsidR="00C06811">
        <w:t xml:space="preserve"> (</w:t>
      </w:r>
      <w:r w:rsidRPr="00C06811">
        <w:t>до 11,6</w:t>
      </w:r>
      <w:r w:rsidR="00C06811" w:rsidRPr="00C06811">
        <w:t xml:space="preserve">%). </w:t>
      </w:r>
      <w:r w:rsidRPr="00C06811">
        <w:t xml:space="preserve">Тем не </w:t>
      </w:r>
      <w:r w:rsidR="00E90B87" w:rsidRPr="00C06811">
        <w:t>менее,</w:t>
      </w:r>
      <w:r w:rsidRPr="00C06811">
        <w:t xml:space="preserve"> некоторые факты</w:t>
      </w:r>
      <w:r w:rsidR="00C06811">
        <w:t xml:space="preserve"> (</w:t>
      </w:r>
      <w:r w:rsidRPr="00C06811">
        <w:t>такие, как участившееся использование преференциальных тарифных квот на ресурсы, налога на товары, содержащие сахар, лицензирования требований к некоторым видам сельскохозяйственной продукции</w:t>
      </w:r>
      <w:r w:rsidR="00C06811" w:rsidRPr="00C06811">
        <w:t xml:space="preserve">) </w:t>
      </w:r>
      <w:r w:rsidRPr="00C06811">
        <w:t>вносили определенного рода искажения в процесс либерализации</w:t>
      </w:r>
      <w:r w:rsidR="00C06811" w:rsidRPr="00C06811">
        <w:t xml:space="preserve">. </w:t>
      </w:r>
      <w:r w:rsidR="00C94A33" w:rsidRPr="00C06811">
        <w:rPr>
          <w:rStyle w:val="a8"/>
          <w:color w:val="000000"/>
        </w:rPr>
        <w:footnoteReference w:id="3"/>
      </w:r>
    </w:p>
    <w:p w:rsidR="00C06811" w:rsidRDefault="00B85AE0" w:rsidP="00C06811">
      <w:pPr>
        <w:ind w:firstLine="709"/>
      </w:pPr>
      <w:r w:rsidRPr="00C06811">
        <w:t>Процесс либерализации не обошел стороной и сферу экспорта</w:t>
      </w:r>
      <w:r w:rsidR="00C06811" w:rsidRPr="00C06811">
        <w:t xml:space="preserve">. </w:t>
      </w:r>
      <w:r w:rsidRPr="00C06811">
        <w:t>В</w:t>
      </w:r>
      <w:r w:rsidR="00C06811" w:rsidRPr="00C06811">
        <w:t xml:space="preserve"> </w:t>
      </w:r>
      <w:r w:rsidRPr="00C06811">
        <w:t>1994 г</w:t>
      </w:r>
      <w:r w:rsidR="00C06811" w:rsidRPr="00C06811">
        <w:t xml:space="preserve">. </w:t>
      </w:r>
      <w:r w:rsidRPr="00C06811">
        <w:t>правительство начало рассматривать меры по его расширению</w:t>
      </w:r>
      <w:r w:rsidR="00C06811" w:rsidRPr="00C06811">
        <w:t xml:space="preserve">. </w:t>
      </w:r>
      <w:r w:rsidRPr="00C06811">
        <w:t>Они включали в себя налоговые льготы, преференциальные кредиты, преференциальные инвестиционные скидки, привлекательные кредиты рефинансирования институтам, которые финансируют экспорт, а также незначительную рекапитализацию</w:t>
      </w:r>
      <w:r w:rsidR="00C06811">
        <w:t xml:space="preserve"> (</w:t>
      </w:r>
      <w:r w:rsidRPr="00C06811">
        <w:t>равную примерно 15 млн</w:t>
      </w:r>
      <w:r w:rsidR="00C06811" w:rsidRPr="00C06811">
        <w:t xml:space="preserve">. </w:t>
      </w:r>
      <w:r w:rsidRPr="00C06811">
        <w:t>долл</w:t>
      </w:r>
      <w:r w:rsidR="00C06811" w:rsidRPr="00C06811">
        <w:t xml:space="preserve">) </w:t>
      </w:r>
      <w:r w:rsidRPr="00C06811">
        <w:t>Корпорации по страхованию экспортных кредитов</w:t>
      </w:r>
      <w:r w:rsidR="00C06811" w:rsidRPr="00C06811">
        <w:t>.</w:t>
      </w:r>
    </w:p>
    <w:p w:rsidR="00C06811" w:rsidRDefault="00B85AE0" w:rsidP="00C06811">
      <w:pPr>
        <w:ind w:firstLine="709"/>
      </w:pPr>
      <w:r w:rsidRPr="00C06811">
        <w:t>Развитие конкурентных отношений происходило посредством расформирования нескольких крупных монополий в таких областях, как мясоперерабатывающая промышленность, рафинирование сахара, фрахтовые перевозки, угольная и сталелитейная промышленность, продажа сельскохозяйственной техники</w:t>
      </w:r>
      <w:r w:rsidR="00C06811" w:rsidRPr="00C06811">
        <w:t xml:space="preserve">. </w:t>
      </w:r>
      <w:r w:rsidRPr="00C06811">
        <w:t>Впоследствии был организован Антимонопольный комитет, наделенный полномочиями вести судебные дела в отношении нарушений правил конкурентного поведения и осуществлять демонополизацию предприятий</w:t>
      </w:r>
      <w:r w:rsidR="00C06811" w:rsidRPr="00C06811">
        <w:t xml:space="preserve">. </w:t>
      </w:r>
      <w:r w:rsidRPr="00C06811">
        <w:t>В то время как помощь МВФ была сконцентрирована в сферах, от которых зависели стабилизация экономики и осуществление некоторых институциональных изменений, Всемирный банк вместе с другими международными организациями поддерживал структурную перестройку</w:t>
      </w:r>
      <w:r w:rsidR="00C06811" w:rsidRPr="00C06811">
        <w:t xml:space="preserve">. </w:t>
      </w:r>
      <w:r w:rsidRPr="00C06811">
        <w:t>Уже в феврале 1990 г</w:t>
      </w:r>
      <w:r w:rsidR="00C06811" w:rsidRPr="00C06811">
        <w:t xml:space="preserve">. </w:t>
      </w:r>
      <w:r w:rsidRPr="00C06811">
        <w:t>Польша получила два займа от Европейского банка реконструкции и развития в размере 360 млн</w:t>
      </w:r>
      <w:r w:rsidR="00C06811" w:rsidRPr="00C06811">
        <w:t xml:space="preserve">. </w:t>
      </w:r>
      <w:r w:rsidRPr="00C06811">
        <w:t>долл</w:t>
      </w:r>
      <w:r w:rsidR="00C06811" w:rsidRPr="00C06811">
        <w:t xml:space="preserve">. </w:t>
      </w:r>
      <w:r w:rsidRPr="00C06811">
        <w:t>Всемирный банк в начале 1990 г</w:t>
      </w:r>
      <w:r w:rsidR="00C06811" w:rsidRPr="00C06811">
        <w:t xml:space="preserve">. </w:t>
      </w:r>
      <w:r w:rsidRPr="00C06811">
        <w:t>предоставил Польше два кредита на сумму 260 млн</w:t>
      </w:r>
      <w:r w:rsidR="00C06811" w:rsidRPr="00C06811">
        <w:t xml:space="preserve">. </w:t>
      </w:r>
      <w:r w:rsidRPr="00C06811">
        <w:t>долл</w:t>
      </w:r>
      <w:r w:rsidR="00C06811">
        <w:t>.,</w:t>
      </w:r>
      <w:r w:rsidRPr="00C06811">
        <w:t xml:space="preserve"> которые должны были быть инвестированы в развитие промышленного и агропромышленного комплексов</w:t>
      </w:r>
      <w:r w:rsidR="00C06811" w:rsidRPr="00C06811">
        <w:t xml:space="preserve">. </w:t>
      </w:r>
      <w:r w:rsidRPr="00C06811">
        <w:t>Общее финансирование по шести проектам</w:t>
      </w:r>
      <w:r w:rsidR="00C06811">
        <w:t xml:space="preserve"> (</w:t>
      </w:r>
      <w:r w:rsidRPr="00C06811">
        <w:t>семь займов</w:t>
      </w:r>
      <w:r w:rsidR="00C06811" w:rsidRPr="00C06811">
        <w:t xml:space="preserve">) </w:t>
      </w:r>
      <w:r w:rsidRPr="00C06811">
        <w:t>в 1990 г</w:t>
      </w:r>
      <w:r w:rsidR="00C06811" w:rsidRPr="00C06811">
        <w:t xml:space="preserve">. </w:t>
      </w:r>
      <w:r w:rsidRPr="00C06811">
        <w:t>составило 1081 млн</w:t>
      </w:r>
      <w:r w:rsidR="00C06811" w:rsidRPr="00C06811">
        <w:t xml:space="preserve">. </w:t>
      </w:r>
      <w:r w:rsidRPr="00C06811">
        <w:t>долл</w:t>
      </w:r>
      <w:r w:rsidR="00C06811">
        <w:t>.,</w:t>
      </w:r>
      <w:r w:rsidRPr="00C06811">
        <w:t xml:space="preserve"> в частности направленных на институциональные преобразования в сфере развития государственного железнодорожного транспорта, добычи природного газа, а также на консервацию внутренних энергоресурсов и сохранение окружающей среды</w:t>
      </w:r>
      <w:r w:rsidR="00C06811" w:rsidRPr="00C06811">
        <w:t xml:space="preserve">. </w:t>
      </w:r>
      <w:r w:rsidRPr="00C06811">
        <w:t>В целом на осуществление структурных преобразований было израсходовано 300 млн</w:t>
      </w:r>
      <w:r w:rsidR="00C06811" w:rsidRPr="00C06811">
        <w:t xml:space="preserve">. </w:t>
      </w:r>
      <w:r w:rsidRPr="00C06811">
        <w:t>долл</w:t>
      </w:r>
      <w:r w:rsidR="00C06811" w:rsidRPr="00C06811">
        <w:t xml:space="preserve">. </w:t>
      </w:r>
      <w:r w:rsidRPr="00C06811">
        <w:t>из займа, одобренного в июле 1990 г</w:t>
      </w:r>
      <w:r w:rsidR="00C06811" w:rsidRPr="00C06811">
        <w:t xml:space="preserve">. </w:t>
      </w:r>
      <w:r w:rsidRPr="00C06811">
        <w:t>В 1990 г</w:t>
      </w:r>
      <w:r w:rsidR="00C06811" w:rsidRPr="00C06811">
        <w:t xml:space="preserve">. </w:t>
      </w:r>
      <w:r w:rsidRPr="00C06811">
        <w:t>Международная финансовая корпорация</w:t>
      </w:r>
      <w:r w:rsidR="00C06811">
        <w:t xml:space="preserve"> (</w:t>
      </w:r>
      <w:r w:rsidRPr="00C06811">
        <w:t>IFC</w:t>
      </w:r>
      <w:r w:rsidR="00C06811" w:rsidRPr="00C06811">
        <w:t xml:space="preserve">) </w:t>
      </w:r>
      <w:r w:rsidRPr="00C06811">
        <w:t>также выделила из своих средств более 60 млн</w:t>
      </w:r>
      <w:r w:rsidR="00C06811" w:rsidRPr="00C06811">
        <w:t xml:space="preserve">. </w:t>
      </w:r>
      <w:r w:rsidRPr="00C06811">
        <w:t>долл</w:t>
      </w:r>
      <w:r w:rsidR="00C06811" w:rsidRPr="00C06811">
        <w:t xml:space="preserve">. </w:t>
      </w:r>
      <w:r w:rsidRPr="00C06811">
        <w:t>Кроме того, Всемирный банк одобрил заем на перестройку промышленного и финансового секторов, средства из которого направлялись на рекапитализацию и приватизацию коммерческих банков, находящихся в собственности государства</w:t>
      </w:r>
      <w:r w:rsidR="00C06811" w:rsidRPr="00C06811">
        <w:t xml:space="preserve">. </w:t>
      </w:r>
      <w:r w:rsidRPr="00C06811">
        <w:t>К 31 января 1994 г</w:t>
      </w:r>
      <w:r w:rsidR="00C06811" w:rsidRPr="00C06811">
        <w:t xml:space="preserve">. </w:t>
      </w:r>
      <w:r w:rsidRPr="00C06811">
        <w:t>Всемирный банк одобрил займы на общую сумму 3,6 млрд</w:t>
      </w:r>
      <w:r w:rsidR="00C06811" w:rsidRPr="00C06811">
        <w:t xml:space="preserve">. </w:t>
      </w:r>
      <w:r w:rsidRPr="00C06811">
        <w:t>долл</w:t>
      </w:r>
      <w:r w:rsidR="00C06811" w:rsidRPr="00C06811">
        <w:t>.</w:t>
      </w:r>
    </w:p>
    <w:p w:rsidR="00C06811" w:rsidRDefault="00C06811" w:rsidP="00C06811">
      <w:pPr>
        <w:ind w:firstLine="709"/>
      </w:pPr>
    </w:p>
    <w:p w:rsidR="00C06811" w:rsidRDefault="00C06811" w:rsidP="00C06811">
      <w:pPr>
        <w:pStyle w:val="2"/>
      </w:pPr>
      <w:bookmarkStart w:id="5" w:name="_Toc256627450"/>
      <w:r>
        <w:t xml:space="preserve">2.3 </w:t>
      </w:r>
      <w:r w:rsidR="003B5D4B" w:rsidRPr="00C06811">
        <w:t>Результаты</w:t>
      </w:r>
      <w:r>
        <w:t xml:space="preserve"> "</w:t>
      </w:r>
      <w:r w:rsidR="003B5D4B" w:rsidRPr="00C06811">
        <w:t>шоковой терапии</w:t>
      </w:r>
      <w:r>
        <w:t>"</w:t>
      </w:r>
      <w:bookmarkEnd w:id="5"/>
    </w:p>
    <w:p w:rsidR="00C06811" w:rsidRDefault="00C06811" w:rsidP="00C06811">
      <w:pPr>
        <w:ind w:firstLine="709"/>
      </w:pPr>
    </w:p>
    <w:p w:rsidR="00C06811" w:rsidRDefault="006F3E65" w:rsidP="00C06811">
      <w:pPr>
        <w:ind w:firstLine="709"/>
      </w:pPr>
      <w:r w:rsidRPr="00C06811">
        <w:t>В 1990 году, вначале функционирования нового правительства, министр Бальцерович поручил пяти независимым институтам проведение исследований, целью которых была объективная оценка состояния польской экономики</w:t>
      </w:r>
      <w:r w:rsidR="00C06811" w:rsidRPr="00C06811">
        <w:t xml:space="preserve">. </w:t>
      </w:r>
      <w:r w:rsidRPr="00C06811">
        <w:t>Эксперты пришли к выводу, что заметный экономический рост, достигнутый в предыдущие годы, является результатом гипертрофированного увеличения объемов потребления, главной причиной которого является необоснованное повышение заработной платы в сочетании с бесконтрольной деятельностью коммерческих банков на внутреннем рынке</w:t>
      </w:r>
      <w:r w:rsidR="00C06811" w:rsidRPr="00C06811">
        <w:t xml:space="preserve">. </w:t>
      </w:r>
      <w:r w:rsidRPr="00C06811">
        <w:t>Частично виновата в этом была также остающаяся у поляков привычка к бедности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По мнению экспертов, к факторам угрожающим экономической стабильности можно было причислить также ускорение роста потребления по сравнению с ростом объема ВНП</w:t>
      </w:r>
      <w:r w:rsidR="00C06811" w:rsidRPr="00C06811">
        <w:t xml:space="preserve">. </w:t>
      </w:r>
      <w:r w:rsidRPr="00C06811">
        <w:t>Эксперты также отметили, что объем денежной массы продолжает расти несмотря на принятые Национальным Банком меры по ограничению процентных ставок, весьма скромный рост капитальных затрат и низкий уровень внешнеторгового дефицита</w:t>
      </w:r>
      <w:r w:rsidR="00C06811" w:rsidRPr="00C06811">
        <w:t xml:space="preserve">. </w:t>
      </w:r>
      <w:r w:rsidRPr="00C06811">
        <w:t>Существующая тенденция обозначает риск валютного кризиса, который имел место в Мексике, Юго-Восточной Азии и Чешской Республике</w:t>
      </w:r>
      <w:r w:rsidR="00C06811" w:rsidRPr="00C06811">
        <w:t>.</w:t>
      </w:r>
    </w:p>
    <w:p w:rsidR="00C06811" w:rsidRDefault="00FD69DE" w:rsidP="00C06811">
      <w:pPr>
        <w:ind w:firstLine="709"/>
      </w:pPr>
      <w:r w:rsidRPr="00C06811">
        <w:t>Меры,</w:t>
      </w:r>
      <w:r w:rsidR="006F3E65" w:rsidRPr="00C06811">
        <w:t xml:space="preserve"> введенные польским правительством с целью</w:t>
      </w:r>
      <w:r w:rsidR="00C06811">
        <w:t xml:space="preserve"> "</w:t>
      </w:r>
      <w:r w:rsidR="006F3E65" w:rsidRPr="00C06811">
        <w:t>охлаждения</w:t>
      </w:r>
      <w:r w:rsidR="00C06811">
        <w:t xml:space="preserve">" </w:t>
      </w:r>
      <w:r w:rsidR="006F3E65" w:rsidRPr="00C06811">
        <w:t>потребительского бума и ограничения текущего дефицита, были весьма позитивно приняты экспертами ООН и ОБСЕ</w:t>
      </w:r>
      <w:r w:rsidR="00C06811">
        <w:t xml:space="preserve"> (</w:t>
      </w:r>
      <w:r w:rsidR="006F3E65" w:rsidRPr="00C06811">
        <w:t>данные</w:t>
      </w:r>
      <w:r w:rsidR="00C06811">
        <w:t xml:space="preserve"> "</w:t>
      </w:r>
      <w:r w:rsidR="006F3E65" w:rsidRPr="00C06811">
        <w:t>Economic Forecasts</w:t>
      </w:r>
      <w:r w:rsidR="00C06811">
        <w:t xml:space="preserve">" </w:t>
      </w:r>
      <w:r w:rsidR="006F3E65" w:rsidRPr="00C06811">
        <w:t>изданный ООН и ОБСЕ в декабре 1997 года</w:t>
      </w:r>
      <w:r w:rsidR="00C06811" w:rsidRPr="00C06811">
        <w:t xml:space="preserve">). </w:t>
      </w:r>
      <w:r w:rsidR="006F3E65" w:rsidRPr="00C06811">
        <w:t>В соответствии с этими прогнозами, после резкого повышения объема потребления в 1996 и 1997 гг</w:t>
      </w:r>
      <w:r w:rsidR="00C06811" w:rsidRPr="00C06811">
        <w:t>.</w:t>
      </w:r>
      <w:r w:rsidR="00C06811">
        <w:t xml:space="preserve"> (</w:t>
      </w:r>
      <w:r w:rsidR="006F3E65" w:rsidRPr="00C06811">
        <w:t>соответственно 8,6</w:t>
      </w:r>
      <w:r w:rsidR="00C06811" w:rsidRPr="00C06811">
        <w:t>%</w:t>
      </w:r>
      <w:r w:rsidR="006F3E65" w:rsidRPr="00C06811">
        <w:t xml:space="preserve"> и 6,6</w:t>
      </w:r>
      <w:r w:rsidR="00C06811" w:rsidRPr="00C06811">
        <w:t>%),</w:t>
      </w:r>
      <w:r w:rsidR="006F3E65" w:rsidRPr="00C06811">
        <w:t xml:space="preserve"> в 1998 году величина эта составит 4,5</w:t>
      </w:r>
      <w:r w:rsidR="00C06811" w:rsidRPr="00C06811">
        <w:t xml:space="preserve"> - </w:t>
      </w:r>
      <w:r w:rsidR="006F3E65" w:rsidRPr="00C06811">
        <w:t>5</w:t>
      </w:r>
      <w:r w:rsidR="00C06811" w:rsidRPr="00C06811">
        <w:t>%</w:t>
      </w:r>
      <w:r w:rsidR="00C06811">
        <w:t xml:space="preserve"> (</w:t>
      </w:r>
      <w:r w:rsidR="006F3E65" w:rsidRPr="00C06811">
        <w:t>бюджет предусматривает 4,2</w:t>
      </w:r>
      <w:r w:rsidR="00C06811" w:rsidRPr="00C06811">
        <w:t>%),</w:t>
      </w:r>
      <w:r w:rsidR="006F3E65" w:rsidRPr="00C06811">
        <w:t xml:space="preserve"> а в 1999 году достигнет безопасного значения 3,7</w:t>
      </w:r>
      <w:r w:rsidR="00C06811" w:rsidRPr="00C06811">
        <w:t xml:space="preserve">%. </w:t>
      </w:r>
      <w:r w:rsidR="006F3E65" w:rsidRPr="00C06811">
        <w:t>Из представленных данных следует, что недосформированный кабинет должен посвящать больше усилий обузданию потребительских страстей с помощью реструктуризации экономики</w:t>
      </w:r>
      <w:r w:rsidR="00C06811">
        <w:t xml:space="preserve"> (</w:t>
      </w:r>
      <w:r w:rsidR="006F3E65" w:rsidRPr="00C06811">
        <w:t>монетарной политики</w:t>
      </w:r>
      <w:r w:rsidR="00C06811" w:rsidRPr="00C06811">
        <w:t xml:space="preserve">). </w:t>
      </w:r>
      <w:r w:rsidR="006F3E65" w:rsidRPr="00C06811">
        <w:t>Реализация такой политики не представляет сложности, хотя может вызвать временное замедление роста ВНП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Валовый Национальный Продукт</w:t>
      </w:r>
      <w:r w:rsidR="00C06811" w:rsidRPr="00C06811">
        <w:t xml:space="preserve">. </w:t>
      </w:r>
      <w:r w:rsidRPr="00C06811">
        <w:t>С 1992 года наблюдается ежегодный рост Валового внутреннего продукта</w:t>
      </w:r>
      <w:r w:rsidR="00C06811" w:rsidRPr="00C06811">
        <w:t xml:space="preserve">. </w:t>
      </w:r>
      <w:r w:rsidRPr="00C06811">
        <w:t>В 1992 году он составил 2,6</w:t>
      </w:r>
      <w:r w:rsidR="00C06811" w:rsidRPr="00C06811">
        <w:t>%</w:t>
      </w:r>
      <w:r w:rsidR="00FD69DE" w:rsidRPr="00C06811">
        <w:t>, к</w:t>
      </w:r>
      <w:r w:rsidRPr="00C06811">
        <w:t xml:space="preserve"> 1995</w:t>
      </w:r>
      <w:r w:rsidR="00FD69DE" w:rsidRPr="00C06811">
        <w:t xml:space="preserve"> году</w:t>
      </w:r>
      <w:r w:rsidRPr="00C06811">
        <w:t xml:space="preserve"> вырос до 7,0</w:t>
      </w:r>
      <w:r w:rsidR="00C06811" w:rsidRPr="00C06811">
        <w:t>%</w:t>
      </w:r>
      <w:r w:rsidRPr="00C06811">
        <w:t>, после 1998 года снова начал снижаться, достигнув к 2000 году отметки в 4,0</w:t>
      </w:r>
      <w:r w:rsidR="00C06811" w:rsidRPr="00C06811">
        <w:t>%</w:t>
      </w:r>
      <w:r w:rsidRPr="00C06811">
        <w:t>, в 2001 упал до 1,0</w:t>
      </w:r>
      <w:r w:rsidR="00C06811" w:rsidRPr="00C06811">
        <w:t>%</w:t>
      </w:r>
      <w:r w:rsidRPr="00C06811">
        <w:t>, а затем снова начал расти, преодолев в 2003 отметку 3,7</w:t>
      </w:r>
      <w:r w:rsidR="00C06811" w:rsidRPr="00C06811">
        <w:t>%</w:t>
      </w:r>
      <w:r w:rsidR="00C06811">
        <w:t xml:space="preserve"> (</w:t>
      </w:r>
      <w:r w:rsidR="00475653" w:rsidRPr="00C06811">
        <w:t>приложение 1</w:t>
      </w:r>
      <w:r w:rsidR="00C06811" w:rsidRPr="00C06811">
        <w:t>).</w:t>
      </w:r>
    </w:p>
    <w:p w:rsidR="00C06811" w:rsidRDefault="006F3E65" w:rsidP="00C06811">
      <w:pPr>
        <w:ind w:firstLine="709"/>
      </w:pPr>
      <w:r w:rsidRPr="00C06811">
        <w:t>Инфляция</w:t>
      </w:r>
      <w:r w:rsidR="00C06811" w:rsidRPr="00C06811">
        <w:t xml:space="preserve">. </w:t>
      </w:r>
      <w:r w:rsidRPr="00C06811">
        <w:t>Польша переживала период высокой инфляции в 1989 и 1990 годах</w:t>
      </w:r>
      <w:r w:rsidR="00C06811" w:rsidRPr="00C06811">
        <w:t xml:space="preserve">. </w:t>
      </w:r>
      <w:r w:rsidRPr="00C06811">
        <w:t>Либерализация цен освободила огромную денежную лавину, накопленную при предыдущем режиме, которая обрушилась на денежный рынок</w:t>
      </w:r>
      <w:r w:rsidR="00C06811" w:rsidRPr="00C06811">
        <w:t xml:space="preserve">. </w:t>
      </w:r>
      <w:r w:rsidRPr="00C06811">
        <w:t xml:space="preserve">С 1 февраля 1988 </w:t>
      </w:r>
      <w:r w:rsidR="00FD69DE" w:rsidRPr="00C06811">
        <w:t xml:space="preserve">года </w:t>
      </w:r>
      <w:r w:rsidRPr="00C06811">
        <w:t>цены на основные продукты питания повысились в среднем на 30</w:t>
      </w:r>
      <w:r w:rsidR="00C06811" w:rsidRPr="00C06811">
        <w:t>%</w:t>
      </w:r>
      <w:r w:rsidRPr="00C06811">
        <w:t>, квартплата и коммунальные услуги</w:t>
      </w:r>
      <w:r w:rsidR="00C06811" w:rsidRPr="00C06811">
        <w:t xml:space="preserve"> - </w:t>
      </w:r>
      <w:r w:rsidRPr="00C06811">
        <w:t>на 50</w:t>
      </w:r>
      <w:r w:rsidR="00C06811" w:rsidRPr="00C06811">
        <w:t xml:space="preserve">%. </w:t>
      </w:r>
      <w:r w:rsidRPr="00C06811">
        <w:t>Однако суровые антиинфляционные меры, включая резкое увеличение процентных ставок, повышенное налогообложение прироста фонда заработной платы постепенно привели к снижению уровня продолжала оставаться относительно жесткой и в последующие годы, несмотря на призывы к проведению более решительной политики в области подъема экономики</w:t>
      </w:r>
      <w:r w:rsidR="00C06811" w:rsidRPr="00C06811">
        <w:t xml:space="preserve">. </w:t>
      </w:r>
      <w:r w:rsidRPr="00C06811">
        <w:t>В результате годовые темпы роста инфляции постепенно снизились с 70</w:t>
      </w:r>
      <w:r w:rsidR="00C06811" w:rsidRPr="00C06811">
        <w:t>%</w:t>
      </w:r>
      <w:r w:rsidRPr="00C06811">
        <w:t xml:space="preserve"> в 1991 году до 28</w:t>
      </w:r>
      <w:r w:rsidR="00C06811" w:rsidRPr="00C06811">
        <w:t>%</w:t>
      </w:r>
      <w:r w:rsidRPr="00C06811">
        <w:t xml:space="preserve"> в 1995, 10</w:t>
      </w:r>
      <w:r w:rsidR="00C06811" w:rsidRPr="00C06811">
        <w:t>%</w:t>
      </w:r>
      <w:r w:rsidRPr="00C06811">
        <w:t xml:space="preserve"> в 2000 и 1,7</w:t>
      </w:r>
      <w:r w:rsidR="00C06811" w:rsidRPr="00C06811">
        <w:t>%</w:t>
      </w:r>
      <w:r w:rsidRPr="00C06811">
        <w:t xml:space="preserve"> в 2003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Безработица</w:t>
      </w:r>
      <w:r w:rsidR="00C06811" w:rsidRPr="00C06811">
        <w:t xml:space="preserve">. </w:t>
      </w:r>
      <w:r w:rsidRPr="00C06811">
        <w:t>В социалистической Польше безработицы не было</w:t>
      </w:r>
      <w:r w:rsidR="00C06811" w:rsidRPr="00C06811">
        <w:t xml:space="preserve">. </w:t>
      </w:r>
      <w:r w:rsidRPr="00C06811">
        <w:t>Однако с началом реформы безработными оказалось 1,1 миллиона человек или 6,3</w:t>
      </w:r>
      <w:r w:rsidR="00C06811" w:rsidRPr="00C06811">
        <w:t>%</w:t>
      </w:r>
      <w:r w:rsidRPr="00C06811">
        <w:t xml:space="preserve"> экономически активного населения страны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К 1993 году безработица составляла уже 18</w:t>
      </w:r>
      <w:r w:rsidR="00C06811" w:rsidRPr="00C06811">
        <w:t>%</w:t>
      </w:r>
      <w:r w:rsidRPr="00C06811">
        <w:t>, затем она начала снижаться, и к 1997 году достигла 12</w:t>
      </w:r>
      <w:r w:rsidR="00C06811" w:rsidRPr="00C06811">
        <w:t>%.</w:t>
      </w:r>
    </w:p>
    <w:p w:rsidR="00C06811" w:rsidRDefault="006F3E65" w:rsidP="00C06811">
      <w:pPr>
        <w:ind w:firstLine="709"/>
      </w:pPr>
      <w:r w:rsidRPr="00C06811">
        <w:t>Однако затем начинается экономический спад и новая реформа, направленная на повышение конкурентоспособности предприятий и повыш</w:t>
      </w:r>
      <w:r w:rsidR="00FD69DE" w:rsidRPr="00C06811">
        <w:t>ение производительности труда</w:t>
      </w:r>
      <w:r w:rsidR="00C06811" w:rsidRPr="00C06811">
        <w:t xml:space="preserve">. </w:t>
      </w:r>
      <w:r w:rsidR="00FD69DE" w:rsidRPr="00C06811">
        <w:t>В</w:t>
      </w:r>
      <w:r w:rsidRPr="00C06811">
        <w:t xml:space="preserve"> результате безработица снова растет, и к 2002 году достигает 20</w:t>
      </w:r>
      <w:r w:rsidR="00C06811" w:rsidRPr="00C06811">
        <w:t>%.</w:t>
      </w:r>
    </w:p>
    <w:p w:rsidR="00C06811" w:rsidRDefault="00FD69DE" w:rsidP="00C06811">
      <w:pPr>
        <w:ind w:firstLine="709"/>
      </w:pPr>
      <w:r w:rsidRPr="00C06811">
        <w:t xml:space="preserve">3,2 миллиона поляков </w:t>
      </w:r>
      <w:r w:rsidR="006F3E65" w:rsidRPr="00C06811">
        <w:t>не имеют работы</w:t>
      </w:r>
      <w:r w:rsidR="00C06811" w:rsidRPr="00C06811">
        <w:t xml:space="preserve">. </w:t>
      </w:r>
      <w:r w:rsidR="006F3E65" w:rsidRPr="00C06811">
        <w:t>Из них более половины не могут устроиться на работу больше года</w:t>
      </w:r>
      <w:r w:rsidR="00C06811" w:rsidRPr="00C06811">
        <w:t xml:space="preserve">. </w:t>
      </w:r>
      <w:r w:rsidR="006F3E65" w:rsidRPr="00C06811">
        <w:t>Большую группу безработных составляют выпускники ВУЗов</w:t>
      </w:r>
      <w:r w:rsidR="00C06811">
        <w:t xml:space="preserve"> (</w:t>
      </w:r>
      <w:r w:rsidR="00C205CF" w:rsidRPr="00C06811">
        <w:t>приложение 2</w:t>
      </w:r>
      <w:r w:rsidR="00C06811" w:rsidRPr="00C06811">
        <w:t>).</w:t>
      </w:r>
    </w:p>
    <w:p w:rsidR="00C06811" w:rsidRDefault="006F3E65" w:rsidP="00C06811">
      <w:pPr>
        <w:ind w:firstLine="709"/>
      </w:pPr>
      <w:r w:rsidRPr="00C06811">
        <w:t>Средняя зарплата</w:t>
      </w:r>
      <w:r w:rsidR="00C06811" w:rsidRPr="00C06811">
        <w:t xml:space="preserve">. </w:t>
      </w:r>
      <w:r w:rsidRPr="00C06811">
        <w:t>Официально средняя зарплата составляет 2201 злотых</w:t>
      </w:r>
      <w:r w:rsidR="00C06811">
        <w:t xml:space="preserve"> (</w:t>
      </w:r>
      <w:r w:rsidRPr="00C06811">
        <w:t>около 570 долларов</w:t>
      </w:r>
      <w:r w:rsidR="00C06811" w:rsidRPr="00C06811">
        <w:t xml:space="preserve">). </w:t>
      </w:r>
      <w:r w:rsidRPr="00C06811">
        <w:t>Самые высокие средние заработки</w:t>
      </w:r>
      <w:r w:rsidR="00C06811" w:rsidRPr="00C06811">
        <w:t xml:space="preserve"> - </w:t>
      </w:r>
      <w:r w:rsidRPr="00C06811">
        <w:t>3816 злотых</w:t>
      </w:r>
      <w:r w:rsidR="00C06811" w:rsidRPr="00C06811">
        <w:t xml:space="preserve"> - </w:t>
      </w:r>
      <w:r w:rsidRPr="00C06811">
        <w:t>в горнодобывающих отраслях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Однако, многие поляки сегодня не могут найти работу с заработком более 1000 злотых</w:t>
      </w:r>
      <w:r w:rsidR="00C06811">
        <w:t xml:space="preserve"> (</w:t>
      </w:r>
      <w:r w:rsidRPr="00C06811">
        <w:t>260 долларов</w:t>
      </w:r>
      <w:r w:rsidR="00C06811" w:rsidRPr="00C06811">
        <w:t>),</w:t>
      </w:r>
      <w:r w:rsidRPr="00C06811">
        <w:t xml:space="preserve"> что для Польши, учитывая стоимость жизни, совсем не много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Международная торговля</w:t>
      </w:r>
      <w:r w:rsidR="00C06811" w:rsidRPr="00C06811">
        <w:t xml:space="preserve">. </w:t>
      </w:r>
      <w:r w:rsidRPr="00C06811">
        <w:t>Рост международного торгового оборота сыграл большую роль в процессе оздоровления польской экономики</w:t>
      </w:r>
      <w:r w:rsidR="00C06811" w:rsidRPr="00C06811">
        <w:t xml:space="preserve">. </w:t>
      </w:r>
      <w:r w:rsidRPr="00C06811">
        <w:t>В период между 1992 и концом 1997 года экспорт возрос почти на 53</w:t>
      </w:r>
      <w:r w:rsidR="00C06811" w:rsidRPr="00C06811">
        <w:t>%</w:t>
      </w:r>
      <w:r w:rsidRPr="00C06811">
        <w:t xml:space="preserve"> и, в пересчете на доллары США, составил 24,4 миллиарда</w:t>
      </w:r>
      <w:r w:rsidR="00C06811" w:rsidRPr="00C06811">
        <w:t xml:space="preserve">. </w:t>
      </w:r>
      <w:r w:rsidRPr="00C06811">
        <w:t>За это время импорт вырос на 50</w:t>
      </w:r>
      <w:r w:rsidR="00C06811" w:rsidRPr="00C06811">
        <w:t>%</w:t>
      </w:r>
      <w:r w:rsidRPr="00C06811">
        <w:t>, достигая величины 34,4 миллиардов долларов США</w:t>
      </w:r>
      <w:r w:rsidR="00C06811" w:rsidRPr="00C06811">
        <w:t xml:space="preserve">. </w:t>
      </w:r>
      <w:r w:rsidRPr="00C06811">
        <w:t>Торговый дефицит увеличился с 1,8 миллиарда долларов в 1994 году до десяти миллиардов в 1996</w:t>
      </w:r>
      <w:r w:rsidR="00C06811" w:rsidRPr="00C06811">
        <w:t xml:space="preserve">. </w:t>
      </w:r>
      <w:r w:rsidRPr="00C06811">
        <w:t>В 1997 году дефицит также существенно возрос из-за повышения уровня внутреннего потребления и инвестиций, стимулирующих импорт, а также из-за амортизации обменного курса и медленного роста экспорта в ключевых экспортных областях</w:t>
      </w:r>
      <w:r w:rsidR="00C06811">
        <w:t xml:space="preserve"> (</w:t>
      </w:r>
      <w:r w:rsidR="00C205CF" w:rsidRPr="00C06811">
        <w:t>приложение 3</w:t>
      </w:r>
      <w:r w:rsidR="00C06811" w:rsidRPr="00C06811">
        <w:t>).</w:t>
      </w:r>
    </w:p>
    <w:p w:rsidR="00C06811" w:rsidRDefault="006F3E65" w:rsidP="00C06811">
      <w:pPr>
        <w:ind w:firstLine="709"/>
      </w:pPr>
      <w:r w:rsidRPr="00C06811">
        <w:t>Зарубежные инвестиции</w:t>
      </w:r>
      <w:r w:rsidR="00C06811" w:rsidRPr="00C06811">
        <w:t xml:space="preserve">. </w:t>
      </w:r>
      <w:r w:rsidRPr="00C06811">
        <w:t>Объем прямых зарубежных инвестиций возрос с 4,3 миллиардов долларов США в конце 1994 года до 20,6 миллиардов долларов в конце июня 1997</w:t>
      </w:r>
      <w:r w:rsidR="00C06811" w:rsidRPr="00C06811">
        <w:t xml:space="preserve">. </w:t>
      </w:r>
      <w:r w:rsidRPr="00C06811">
        <w:t>Наибольший удельный вес имеют инвестиции США около 23,1</w:t>
      </w:r>
      <w:r w:rsidR="00C06811" w:rsidRPr="00C06811">
        <w:t>%</w:t>
      </w:r>
      <w:r w:rsidRPr="00C06811">
        <w:t>, немецкие инвестиции составляют 13</w:t>
      </w:r>
      <w:r w:rsidR="00C06811" w:rsidRPr="00C06811">
        <w:t>%</w:t>
      </w:r>
      <w:r w:rsidRPr="00C06811">
        <w:t>, транснациональные корпорации вложили 11,3</w:t>
      </w:r>
      <w:r w:rsidR="00C06811" w:rsidRPr="00C06811">
        <w:t>%</w:t>
      </w:r>
      <w:r w:rsidR="00257B67" w:rsidRPr="00C06811">
        <w:t xml:space="preserve"> общей суммы, Италия</w:t>
      </w:r>
      <w:r w:rsidR="00C06811" w:rsidRPr="00C06811">
        <w:t xml:space="preserve"> - </w:t>
      </w:r>
      <w:r w:rsidR="00257B67" w:rsidRPr="00C06811">
        <w:t>10,2</w:t>
      </w:r>
      <w:r w:rsidRPr="00C06811">
        <w:t>%, Франция</w:t>
      </w:r>
      <w:r w:rsidR="00C06811" w:rsidRPr="00C06811">
        <w:t xml:space="preserve"> - </w:t>
      </w:r>
      <w:r w:rsidRPr="00C06811">
        <w:t>8,4</w:t>
      </w:r>
      <w:r w:rsidR="00C06811" w:rsidRPr="00C06811">
        <w:t>%</w:t>
      </w:r>
      <w:r w:rsidR="00C06811">
        <w:t xml:space="preserve"> (</w:t>
      </w:r>
      <w:r w:rsidR="00257B67" w:rsidRPr="00C06811">
        <w:t>приложение 4</w:t>
      </w:r>
      <w:r w:rsidR="00C06811" w:rsidRPr="00C06811">
        <w:t xml:space="preserve">). </w:t>
      </w:r>
      <w:r w:rsidRPr="00C06811">
        <w:t>В основном иностранный капитал направляется в промышленное производство</w:t>
      </w:r>
      <w:r w:rsidR="00C06811" w:rsidRPr="00C06811">
        <w:t xml:space="preserve">; </w:t>
      </w:r>
      <w:r w:rsidRPr="00C06811">
        <w:t>3 миллиарда долларов было направлено в производство продуктов питания, напитков и табачную промышленность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Внешняя задолженность</w:t>
      </w:r>
      <w:r w:rsidR="00C06811" w:rsidRPr="00C06811">
        <w:t xml:space="preserve">. </w:t>
      </w:r>
      <w:r w:rsidRPr="00C06811">
        <w:t>Десятилетия неэффективного управления экономикой коммунистическими режимами наградили Польшу значительной внешней задолженностью</w:t>
      </w:r>
      <w:r w:rsidR="00C06811" w:rsidRPr="00C06811">
        <w:t xml:space="preserve">. </w:t>
      </w:r>
      <w:r w:rsidRPr="00C06811">
        <w:t>Долговое бремя было немного облегчено благодаря двум соглашениям</w:t>
      </w:r>
      <w:r w:rsidR="00C06811" w:rsidRPr="00C06811">
        <w:t xml:space="preserve">. </w:t>
      </w:r>
      <w:r w:rsidRPr="00C06811">
        <w:t>В марте 1991 года Парижский клуб кредиторов согласился списать 50</w:t>
      </w:r>
      <w:r w:rsidR="00C06811" w:rsidRPr="00C06811">
        <w:t>%</w:t>
      </w:r>
      <w:r w:rsidRPr="00C06811">
        <w:t xml:space="preserve"> задолженности в два приема</w:t>
      </w:r>
      <w:r w:rsidR="00C06811">
        <w:t xml:space="preserve"> (</w:t>
      </w:r>
      <w:r w:rsidRPr="00C06811">
        <w:t>30</w:t>
      </w:r>
      <w:r w:rsidR="00C06811" w:rsidRPr="00C06811">
        <w:t>%</w:t>
      </w:r>
      <w:r w:rsidRPr="00C06811">
        <w:t xml:space="preserve"> в 1991 году и 20</w:t>
      </w:r>
      <w:r w:rsidR="00C06811" w:rsidRPr="00C06811">
        <w:t>%</w:t>
      </w:r>
      <w:r w:rsidRPr="00C06811">
        <w:t xml:space="preserve"> в 1994</w:t>
      </w:r>
      <w:r w:rsidR="00C06811" w:rsidRPr="00C06811">
        <w:t xml:space="preserve">). </w:t>
      </w:r>
      <w:r w:rsidRPr="00C06811">
        <w:t>В марте 1994 года Лондонский клуб кредиторов также был вынужден согласиться с предложением сократить долг почти на 50</w:t>
      </w:r>
      <w:r w:rsidR="00C06811" w:rsidRPr="00C06811">
        <w:t xml:space="preserve">%. </w:t>
      </w:r>
      <w:r w:rsidRPr="00C06811">
        <w:t>Несмотря на это, долг в размере 44 миллиарда долларов</w:t>
      </w:r>
      <w:r w:rsidR="00C06811">
        <w:t xml:space="preserve"> (</w:t>
      </w:r>
      <w:r w:rsidR="003B5D4B" w:rsidRPr="00C06811">
        <w:t>на 2003 год</w:t>
      </w:r>
      <w:r w:rsidR="00C06811" w:rsidRPr="00C06811">
        <w:t xml:space="preserve">) </w:t>
      </w:r>
      <w:r w:rsidR="003B5D4B" w:rsidRPr="00C06811">
        <w:t>по-прежнему лежал</w:t>
      </w:r>
      <w:r w:rsidRPr="00C06811">
        <w:t xml:space="preserve"> тяжелым бременем на польской экономике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На пути в Евросоюз</w:t>
      </w:r>
      <w:r w:rsidR="00C06811" w:rsidRPr="00C06811">
        <w:t xml:space="preserve">. </w:t>
      </w:r>
      <w:r w:rsidRPr="00C06811">
        <w:t>Последовательное внедрение экономических реформ, успехи процессов реструктуризации, а также положительные макроэкономические показатели, достигнутые в результате целенаправленной экономической политики, осуществляемой государством, помогли Польше избежать кризисов, переживаемых многими странами мира</w:t>
      </w:r>
      <w:r w:rsidR="00C06811" w:rsidRPr="00C06811">
        <w:t xml:space="preserve">. </w:t>
      </w:r>
      <w:r w:rsidRPr="00C06811">
        <w:t>Благодаря этому Польша все чаще воспринимается в мире как страна успеха</w:t>
      </w:r>
      <w:r w:rsidR="00C06811" w:rsidRPr="00C06811">
        <w:t xml:space="preserve">. </w:t>
      </w:r>
      <w:r w:rsidRPr="00C06811">
        <w:t>Это мнение нашло свое отражение и в оценках, выдаваемых международными экономическими организациями и финансовыми институтами, и в мировой экономической публицистике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Процессы преобразования экономики, расширяющейся либерализации и широкого внедрения рыночных механизмов сопровождались в Польше также существенными изменениями во внешнеэкономической политике</w:t>
      </w:r>
      <w:r w:rsidR="00C06811" w:rsidRPr="00C06811">
        <w:t xml:space="preserve">. </w:t>
      </w:r>
      <w:r w:rsidRPr="00C06811">
        <w:t>Осуществлен ряд изменений в торговой политике, результатом которых была значительная либерализация товарооборота в соответствии с принципами Всемирной Торговой Организации</w:t>
      </w:r>
      <w:r w:rsidR="00C06811" w:rsidRPr="00C06811">
        <w:t xml:space="preserve">. </w:t>
      </w:r>
      <w:r w:rsidRPr="00C06811">
        <w:t>Изменения во внешнеэкономической политике Польши отразились также на главных направлениях экономического сотрудничества и торговли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Стратегической целью этой политики стало членство Польши в Европейском союзе</w:t>
      </w:r>
      <w:r w:rsidR="00C06811" w:rsidRPr="00C06811">
        <w:t xml:space="preserve">. </w:t>
      </w:r>
      <w:r w:rsidRPr="00C06811">
        <w:t>Польша реализует Европейский договор от 1 февраля 1994 года, устанавливающий ассоциацию Польши с Европейскими сообществами</w:t>
      </w:r>
      <w:r w:rsidR="00C06811" w:rsidRPr="00C06811">
        <w:t xml:space="preserve">. </w:t>
      </w:r>
      <w:r w:rsidRPr="00C06811">
        <w:t>Страны ЕС являются главными торговыми партнерами Польши, на их долю приходилось в 2000 году 70</w:t>
      </w:r>
      <w:r w:rsidR="00C06811" w:rsidRPr="00C06811">
        <w:t>%</w:t>
      </w:r>
      <w:r w:rsidRPr="00C06811">
        <w:t xml:space="preserve"> всего польского экспорта и 62</w:t>
      </w:r>
      <w:r w:rsidR="00C06811" w:rsidRPr="00C06811">
        <w:t>%</w:t>
      </w:r>
      <w:r w:rsidRPr="00C06811">
        <w:t xml:space="preserve"> импорта</w:t>
      </w:r>
      <w:r w:rsidR="00C06811" w:rsidRPr="00C06811">
        <w:t xml:space="preserve">. </w:t>
      </w:r>
      <w:r w:rsidRPr="00C06811">
        <w:t>Продолжается процесс приспособления польской экономики структурам Европейского Союза, и перспектива вступления Польши в ЕС становится все более реальной</w:t>
      </w:r>
      <w:r w:rsidR="00C06811" w:rsidRPr="00C06811">
        <w:t xml:space="preserve">. </w:t>
      </w:r>
      <w:r w:rsidRPr="00C06811">
        <w:t>Системные изменения, свободный выход польских товаров на мировой рынок и повышение их конкурентоспособности стимулировали рост внешнеторгового оборота Польши за последние годы</w:t>
      </w:r>
      <w:r w:rsidR="00C06811" w:rsidRPr="00C06811">
        <w:t xml:space="preserve">. </w:t>
      </w:r>
      <w:r w:rsidRPr="00C06811">
        <w:t>Экономические отношения Польши с большинством стран Центральной и Восточной Европы основаны на соглашениях о свободной торговле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Оценивая результаты, достигнутые в польской экономике в период 1999-2000 годов, следует обратить внимание на сохраняющуюся тенденцию экономического роста в пределах 5</w:t>
      </w:r>
      <w:r w:rsidR="00C06811" w:rsidRPr="00C06811">
        <w:t>%</w:t>
      </w:r>
      <w:r w:rsidR="00C06811">
        <w:t xml:space="preserve"> (</w:t>
      </w:r>
      <w:r w:rsidRPr="00C06811">
        <w:t>ВВП</w:t>
      </w:r>
      <w:r w:rsidR="00C06811" w:rsidRPr="00C06811">
        <w:t xml:space="preserve">) </w:t>
      </w:r>
      <w:r w:rsidRPr="00C06811">
        <w:t>по отношению к предыдущему периоду</w:t>
      </w:r>
      <w:r w:rsidR="00C06811" w:rsidRPr="00C06811">
        <w:t xml:space="preserve">. </w:t>
      </w:r>
      <w:r w:rsidRPr="00C06811">
        <w:t>Снизился также уровень годовой инфл</w:t>
      </w:r>
      <w:r w:rsidR="003B5D4B" w:rsidRPr="00C06811">
        <w:t>яции, который по</w:t>
      </w:r>
      <w:r w:rsidRPr="00C06811">
        <w:t xml:space="preserve"> данным достиг 9,5</w:t>
      </w:r>
      <w:r w:rsidR="00C06811" w:rsidRPr="00C06811">
        <w:t xml:space="preserve">%. </w:t>
      </w:r>
      <w:r w:rsidRPr="00C06811">
        <w:t>Однако, ее уровень выше предсказываемого в начале 2000 года</w:t>
      </w:r>
      <w:r w:rsidR="00C06811">
        <w:t xml:space="preserve"> (</w:t>
      </w:r>
      <w:r w:rsidRPr="00C06811">
        <w:t>менее 7</w:t>
      </w:r>
      <w:r w:rsidR="00C06811" w:rsidRPr="00C06811">
        <w:t xml:space="preserve">%). </w:t>
      </w:r>
      <w:r w:rsidRPr="00C06811">
        <w:t>Особенно возрос объем реализованной промышленной продукции</w:t>
      </w:r>
      <w:r w:rsidR="00C06811">
        <w:t xml:space="preserve"> (</w:t>
      </w:r>
      <w:r w:rsidRPr="00C06811">
        <w:t>около 9</w:t>
      </w:r>
      <w:r w:rsidR="00C06811" w:rsidRPr="00C06811">
        <w:t>%</w:t>
      </w:r>
      <w:r w:rsidRPr="00C06811">
        <w:t xml:space="preserve"> по сравнению с 1999 годом</w:t>
      </w:r>
      <w:r w:rsidR="00C06811" w:rsidRPr="00C06811">
        <w:t>),</w:t>
      </w:r>
      <w:r w:rsidRPr="00C06811">
        <w:t xml:space="preserve"> главным образом за счет улучшения конъюнктуры перерабатывающей промышленности, а также жилищного строительства</w:t>
      </w:r>
      <w:r w:rsidR="00C06811" w:rsidRPr="00C06811">
        <w:t xml:space="preserve">. </w:t>
      </w:r>
      <w:r w:rsidRPr="00C06811">
        <w:t>Во всем объеме промышленного производства выросло значение отраслей, относящихся к носителям технического прогресса</w:t>
      </w:r>
      <w:r w:rsidR="00C06811" w:rsidRPr="00C06811">
        <w:t xml:space="preserve">. </w:t>
      </w:r>
      <w:r w:rsidRPr="00C06811">
        <w:t>Увеличилось количество квартир, сданных в эксплуатацию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В области сельского хозяйства следует отметить повышение закупочных цен на основные зерновые культуры, убойный скот, а также коровье молоко</w:t>
      </w:r>
      <w:r w:rsidR="00C06811" w:rsidRPr="00C06811">
        <w:t xml:space="preserve">. </w:t>
      </w:r>
      <w:r w:rsidRPr="00C06811">
        <w:t>Одновременно наблюдалось снижение закупочных цен на картофель и птицу</w:t>
      </w:r>
      <w:r w:rsidR="00C06811" w:rsidRPr="00C06811">
        <w:t xml:space="preserve">. </w:t>
      </w:r>
      <w:r w:rsidRPr="00C06811">
        <w:t>В целом за 2000 год вырос объем розничной продажи товаров</w:t>
      </w:r>
      <w:r w:rsidR="00C06811" w:rsidRPr="00C06811">
        <w:t xml:space="preserve">. </w:t>
      </w:r>
      <w:r w:rsidRPr="00C06811">
        <w:t>Возросла также реальная начисленная месячная зарплата в производственном секторе</w:t>
      </w:r>
      <w:r w:rsidR="00C06811" w:rsidRPr="00C06811">
        <w:t xml:space="preserve">. </w:t>
      </w:r>
      <w:r w:rsidRPr="00C06811">
        <w:t>Заметно увеличилась выручка с экспорта, по сравнению с расходами на импорт</w:t>
      </w:r>
      <w:r w:rsidR="00C06811" w:rsidRPr="00C06811">
        <w:t xml:space="preserve">. </w:t>
      </w:r>
      <w:r w:rsidRPr="00C06811">
        <w:t>Следовательно, уменьшился дефицит торгового баланса страны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Однако за это период отмечено дальнейшее снижение занятости в производственном секторе, в том числе в промышленности</w:t>
      </w:r>
      <w:r w:rsidR="00C06811" w:rsidRPr="00C06811">
        <w:t xml:space="preserve">. </w:t>
      </w:r>
      <w:r w:rsidRPr="00C06811">
        <w:t>Увеличилось число зарегистрированных безработных</w:t>
      </w:r>
      <w:r w:rsidR="00C06811" w:rsidRPr="00C06811">
        <w:t xml:space="preserve">. </w:t>
      </w:r>
      <w:r w:rsidRPr="00C06811">
        <w:t>В конце 2000 года уровень безработицы превысил 14</w:t>
      </w:r>
      <w:r w:rsidR="00C06811" w:rsidRPr="00C06811">
        <w:t xml:space="preserve">%. </w:t>
      </w:r>
      <w:r w:rsidRPr="00C06811">
        <w:t>Несмотря на усилия правительства в 2001 году не удается снизить этот важный для экономики страны показатель ввиду недостаточного предложения рабочих мест</w:t>
      </w:r>
      <w:r w:rsidR="00C06811" w:rsidRPr="00C06811">
        <w:t xml:space="preserve">. </w:t>
      </w:r>
      <w:r w:rsidRPr="00C06811">
        <w:t>В этой связи Польша очень заинтересована в инвестициях, повышающих занятость в регионах с излишками рабочей силы, в особенности в сельскохозяйственных регионах</w:t>
      </w:r>
      <w:r w:rsidR="00C06811" w:rsidRPr="00C06811">
        <w:t>.</w:t>
      </w:r>
    </w:p>
    <w:p w:rsidR="00C06811" w:rsidRDefault="006F3E65" w:rsidP="00C06811">
      <w:pPr>
        <w:ind w:firstLine="709"/>
      </w:pPr>
      <w:r w:rsidRPr="00C06811">
        <w:t>Несмотря на перечисленные выше трудности, существуют все предпосылки для того, чтобы Польша и дальше принадлежала к числу стран с самыми высокими темпами экономического роста</w:t>
      </w:r>
      <w:r w:rsidR="00C06811" w:rsidRPr="00C06811">
        <w:t xml:space="preserve">. </w:t>
      </w:r>
      <w:r w:rsidRPr="00C06811">
        <w:t>Одним из важнейших факторов этого роста будет, как и прежде, расширение внешнеэкономического сотрудничества, и дальнейшее увеличение внешнего товарооборота</w:t>
      </w:r>
      <w:r w:rsidR="00C06811" w:rsidRPr="00C06811">
        <w:t>.</w:t>
      </w:r>
    </w:p>
    <w:p w:rsidR="000B5E04" w:rsidRPr="00C06811" w:rsidRDefault="00C06811" w:rsidP="00C06811">
      <w:pPr>
        <w:pStyle w:val="2"/>
      </w:pPr>
      <w:r>
        <w:br w:type="page"/>
      </w:r>
      <w:bookmarkStart w:id="6" w:name="_Toc256627451"/>
      <w:r>
        <w:t>Г</w:t>
      </w:r>
      <w:r w:rsidRPr="00C06811">
        <w:t>лава</w:t>
      </w:r>
      <w:r w:rsidR="005211CA" w:rsidRPr="00C06811">
        <w:t xml:space="preserve"> 3</w:t>
      </w:r>
      <w:r w:rsidRPr="00C06811">
        <w:t xml:space="preserve">. </w:t>
      </w:r>
      <w:r w:rsidR="005211CA" w:rsidRPr="00C06811">
        <w:t>Современная Польша</w:t>
      </w:r>
      <w:bookmarkEnd w:id="6"/>
    </w:p>
    <w:p w:rsidR="00C06811" w:rsidRDefault="00C06811" w:rsidP="00C06811">
      <w:pPr>
        <w:ind w:firstLine="709"/>
      </w:pPr>
    </w:p>
    <w:p w:rsidR="00C06811" w:rsidRDefault="00C06811" w:rsidP="00C06811">
      <w:pPr>
        <w:pStyle w:val="2"/>
      </w:pPr>
      <w:bookmarkStart w:id="7" w:name="_Toc256627452"/>
      <w:r>
        <w:t xml:space="preserve">3.1 </w:t>
      </w:r>
      <w:r w:rsidR="00612D61" w:rsidRPr="00C06811">
        <w:t>Национальный план развития на 2004</w:t>
      </w:r>
      <w:r w:rsidRPr="00C06811">
        <w:t xml:space="preserve"> - </w:t>
      </w:r>
      <w:r w:rsidR="00612D61" w:rsidRPr="00C06811">
        <w:t>2006 гг</w:t>
      </w:r>
      <w:r w:rsidRPr="00C06811">
        <w:t>.</w:t>
      </w:r>
      <w:bookmarkEnd w:id="7"/>
    </w:p>
    <w:p w:rsidR="00C06811" w:rsidRDefault="00C06811" w:rsidP="00C06811">
      <w:pPr>
        <w:ind w:firstLine="709"/>
      </w:pPr>
    </w:p>
    <w:p w:rsidR="00C06811" w:rsidRDefault="005211CA" w:rsidP="00C06811">
      <w:pPr>
        <w:ind w:firstLine="709"/>
      </w:pPr>
      <w:r w:rsidRPr="00C06811">
        <w:t>В</w:t>
      </w:r>
      <w:r w:rsidR="00612D61" w:rsidRPr="00C06811">
        <w:t>ступление Польши в Европейский союз и связанные с этим новые вызовы для экономики Польши заставили правительство подготовить Национальный план развития</w:t>
      </w:r>
      <w:r w:rsidR="00C06811">
        <w:t xml:space="preserve"> (</w:t>
      </w:r>
      <w:r w:rsidR="00612D61" w:rsidRPr="00C06811">
        <w:t>НПР</w:t>
      </w:r>
      <w:r w:rsidR="00C06811" w:rsidRPr="00C06811">
        <w:t xml:space="preserve">). </w:t>
      </w:r>
      <w:r w:rsidR="00612D61" w:rsidRPr="00C06811">
        <w:t>Этот документ, принятый Советом Министров 11 февраля 2003 г</w:t>
      </w:r>
      <w:r w:rsidR="00C06811">
        <w:t>.,</w:t>
      </w:r>
      <w:r w:rsidR="00612D61" w:rsidRPr="00C06811">
        <w:t xml:space="preserve"> определял социально-экономическую стратегию страны в 2004-2006 гг</w:t>
      </w:r>
      <w:r w:rsidR="00C06811">
        <w:t>.,</w:t>
      </w:r>
      <w:r w:rsidR="00612D61" w:rsidRPr="00C06811">
        <w:t xml:space="preserve"> </w:t>
      </w:r>
      <w:r w:rsidR="00C06811">
        <w:t>т.е.</w:t>
      </w:r>
      <w:r w:rsidR="00C06811" w:rsidRPr="00C06811">
        <w:t xml:space="preserve"> </w:t>
      </w:r>
      <w:r w:rsidR="00612D61" w:rsidRPr="00C06811">
        <w:t>в первые годы членства в ЕС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Национальный план развития давал характеристику социально-экономической ситуации в Польше и ее регионах накануне вступления в ЕС, формулировал цели и содержал описание стратегии, нацеленной на достижение общественной, экономической и пространственной интеграции со странами и регионами Сообщества, давал приблизительную оценку результатов планируемой интервенции государства и ее влияния на ход процессов развития, указывал направления и объемы планируемого вовлечения средств из фондов ЕС</w:t>
      </w:r>
      <w:r w:rsidR="00C06811">
        <w:t xml:space="preserve"> (</w:t>
      </w:r>
      <w:r w:rsidRPr="00C06811">
        <w:t>структурных и Фонда сплочения</w:t>
      </w:r>
      <w:r w:rsidR="00C06811" w:rsidRPr="00C06811">
        <w:t xml:space="preserve"> - </w:t>
      </w:r>
      <w:r w:rsidRPr="00C06811">
        <w:t>cohesion fund</w:t>
      </w:r>
      <w:r w:rsidR="00C06811" w:rsidRPr="00C06811">
        <w:t>),</w:t>
      </w:r>
      <w:r w:rsidRPr="00C06811">
        <w:t xml:space="preserve"> а также определял способ координации и освоения средств структурной помощи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Стратегической целью НПР являлось развитие конкурентоспособности экономики, опирающейся на знания и предприимчивость, способной к долговременному, гармоничному развитию, обеспечивающей рост занятости населения и улучшение общественной, экономической и пространственной интеграции с Европейским союзом на региональном и национальном уровнях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Реализация стратегической цели осуществлялась поэтапно, путем достижения промежуточных целей, которые были ответом на вызовы глобальной конкуренции, перед лицом которых Польша стояла вместе с другими странами ЕС</w:t>
      </w:r>
      <w:r w:rsidR="00C06811" w:rsidRPr="00C06811">
        <w:t xml:space="preserve">. </w:t>
      </w:r>
      <w:r w:rsidRPr="00C06811">
        <w:t>Промежуточные цели определялись исходя из анализа слабых и сильных сторон польской экономики, а также шансов и опасностей, стоящих перед ней</w:t>
      </w:r>
      <w:r w:rsidR="00C06811" w:rsidRPr="00C06811">
        <w:t xml:space="preserve">. </w:t>
      </w:r>
      <w:r w:rsidRPr="00C06811">
        <w:t>На период 2004</w:t>
      </w:r>
      <w:r w:rsidR="00C06811" w:rsidRPr="00C06811">
        <w:t xml:space="preserve"> - </w:t>
      </w:r>
      <w:r w:rsidRPr="00C06811">
        <w:t>2006 гг</w:t>
      </w:r>
      <w:r w:rsidR="00C06811" w:rsidRPr="00C06811">
        <w:t xml:space="preserve">. </w:t>
      </w:r>
      <w:r w:rsidRPr="00C06811">
        <w:t>в НПР формулируется пять таких промежуточных целей</w:t>
      </w:r>
      <w:r w:rsidR="00C06811" w:rsidRPr="00C06811">
        <w:t>:</w:t>
      </w:r>
    </w:p>
    <w:p w:rsidR="00C06811" w:rsidRDefault="00612D61" w:rsidP="00C06811">
      <w:pPr>
        <w:ind w:firstLine="709"/>
      </w:pPr>
      <w:r w:rsidRPr="00C06811">
        <w:t>1</w:t>
      </w:r>
      <w:r w:rsidR="00C06811" w:rsidRPr="00C06811">
        <w:t xml:space="preserve">. </w:t>
      </w:r>
      <w:r w:rsidRPr="00C06811">
        <w:t>Достижение и сохранение в долговременной перспективе высокого роста ВВП</w:t>
      </w:r>
      <w:r w:rsidR="00C06811">
        <w:t xml:space="preserve"> (</w:t>
      </w:r>
      <w:r w:rsidRPr="00C06811">
        <w:t>до 6</w:t>
      </w:r>
      <w:r w:rsidR="00C06811" w:rsidRPr="00C06811">
        <w:t>%</w:t>
      </w:r>
      <w:r w:rsidRPr="00C06811">
        <w:t xml:space="preserve"> в 2006 г</w:t>
      </w:r>
      <w:r w:rsidR="00C06811" w:rsidRPr="00C06811">
        <w:t xml:space="preserve">). </w:t>
      </w:r>
      <w:r w:rsidRPr="00C06811">
        <w:t>Реализация этой задачи треб</w:t>
      </w:r>
      <w:r w:rsidR="00AC148E" w:rsidRPr="00C06811">
        <w:t>овала</w:t>
      </w:r>
      <w:r w:rsidRPr="00C06811">
        <w:t xml:space="preserve"> сохранения макроэкономического равновесия и финансовой стабилизации, упрочения тенденции к снижению инфляции и сокращению дефицита бюджета, продолжения процесса приватизации, ограничения административных и правовых барьеров в развитии предпринимательства и ведении хозяйственной деятельности, а также направления государственной помощи на поддержку наиболее эффективных и конкурентоспособных фирм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2</w:t>
      </w:r>
      <w:r w:rsidR="00C06811" w:rsidRPr="00C06811">
        <w:t xml:space="preserve">. </w:t>
      </w:r>
      <w:r w:rsidRPr="00C06811">
        <w:t>Повышение уровня занятости и образования</w:t>
      </w:r>
      <w:r w:rsidR="00C06811" w:rsidRPr="00C06811">
        <w:t xml:space="preserve">: </w:t>
      </w:r>
      <w:r w:rsidRPr="00C06811">
        <w:t>уровень безработицы, по прогнозам BAEL</w:t>
      </w:r>
      <w:r w:rsidR="00C06811">
        <w:t xml:space="preserve"> (</w:t>
      </w:r>
      <w:r w:rsidRPr="00C06811">
        <w:t>исследование экономической активности населения</w:t>
      </w:r>
      <w:r w:rsidR="00C06811" w:rsidRPr="00C06811">
        <w:t xml:space="preserve">) </w:t>
      </w:r>
      <w:r w:rsidRPr="00C06811">
        <w:t xml:space="preserve">должен </w:t>
      </w:r>
      <w:r w:rsidR="00AC148E" w:rsidRPr="00C06811">
        <w:t xml:space="preserve">был </w:t>
      </w:r>
      <w:r w:rsidRPr="00C06811">
        <w:t>сократиться с 19,9</w:t>
      </w:r>
      <w:r w:rsidR="00C06811" w:rsidRPr="00C06811">
        <w:t>%</w:t>
      </w:r>
      <w:r w:rsidRPr="00C06811">
        <w:t xml:space="preserve"> в 2001 г</w:t>
      </w:r>
      <w:r w:rsidR="00C06811" w:rsidRPr="00C06811">
        <w:t xml:space="preserve">. </w:t>
      </w:r>
      <w:r w:rsidRPr="00C06811">
        <w:t>до 15% в 2006 г</w:t>
      </w:r>
      <w:r w:rsidR="00C06811" w:rsidRPr="00C06811">
        <w:t xml:space="preserve">. </w:t>
      </w:r>
      <w:r w:rsidRPr="00C06811">
        <w:t>Должна повыситься степень охвата образованием н</w:t>
      </w:r>
      <w:r w:rsidR="00C837E1" w:rsidRPr="00C06811">
        <w:t>а уровне средней и высшей</w:t>
      </w:r>
      <w:r w:rsidR="00C06811" w:rsidRPr="00C06811">
        <w:t xml:space="preserve"> </w:t>
      </w:r>
      <w:r w:rsidR="00C837E1" w:rsidRPr="00C06811">
        <w:t>школы</w:t>
      </w:r>
      <w:r w:rsidR="00C06811" w:rsidRPr="00C06811">
        <w:t xml:space="preserve"> - </w:t>
      </w:r>
      <w:r w:rsidRPr="00C06811">
        <w:t>до 72</w:t>
      </w:r>
      <w:r w:rsidR="00C06811" w:rsidRPr="00C06811">
        <w:t>%</w:t>
      </w:r>
      <w:r w:rsidRPr="00C06811">
        <w:t xml:space="preserve"> и 13</w:t>
      </w:r>
      <w:r w:rsidR="00C06811" w:rsidRPr="00C06811">
        <w:t>%</w:t>
      </w:r>
      <w:r w:rsidRPr="00C06811">
        <w:t xml:space="preserve"> соответственно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Реализация этой задачи треб</w:t>
      </w:r>
      <w:r w:rsidR="00AC148E" w:rsidRPr="00C06811">
        <w:t>овала</w:t>
      </w:r>
      <w:r w:rsidRPr="00C06811">
        <w:t xml:space="preserve"> внедрения механизмов снижения производственных издержек, устранения административных и институциональных барьеров, увеличения гибкости, территориальной и профессиональной мобильности рабочей силы</w:t>
      </w:r>
      <w:r w:rsidR="00C06811">
        <w:t xml:space="preserve"> (</w:t>
      </w:r>
      <w:r w:rsidRPr="00C06811">
        <w:t>особенно сельского населения</w:t>
      </w:r>
      <w:r w:rsidR="00C06811" w:rsidRPr="00C06811">
        <w:t>),</w:t>
      </w:r>
      <w:r w:rsidRPr="00C06811">
        <w:t xml:space="preserve"> а также концентрации социальной политики на наиболее Динамичных группах действующих и потенциальных работников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3</w:t>
      </w:r>
      <w:r w:rsidR="00C06811" w:rsidRPr="00C06811">
        <w:t xml:space="preserve">. </w:t>
      </w:r>
      <w:r w:rsidRPr="00C06811">
        <w:t>Включение Польши в европейскую сеть транспортной и информационной инфраструктуры посредством динамичного расширения сети автострад и скоростных дорог, модернизации железных дорог, а также трехкратное увеличение доступа к Интернету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Реализация этой задачи треб</w:t>
      </w:r>
      <w:r w:rsidR="00AC148E" w:rsidRPr="00C06811">
        <w:t>овала</w:t>
      </w:r>
      <w:r w:rsidRPr="00C06811">
        <w:t xml:space="preserve"> осуществления мер правового и институционального характера, состоящих в упрощении правил инвестирования в инфраструктуру, в ограничении негативного влияния на окружающую среду и принятии беспрецедентной инвестиционной программы</w:t>
      </w:r>
      <w:r w:rsidR="00C06811">
        <w:t xml:space="preserve"> (</w:t>
      </w:r>
      <w:r w:rsidRPr="00C06811">
        <w:t xml:space="preserve">дороги, железнодорожный транспорт, порты, информационные сети, и </w:t>
      </w:r>
      <w:r w:rsidR="00C06811">
        <w:t>т.д.)</w:t>
      </w:r>
      <w:r w:rsidR="00C06811" w:rsidRPr="00C06811">
        <w:t>,</w:t>
      </w:r>
      <w:r w:rsidRPr="00C06811">
        <w:t xml:space="preserve"> нацеленной на включение Польши в систему европейской экономики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4</w:t>
      </w:r>
      <w:r w:rsidR="00C06811" w:rsidRPr="00C06811">
        <w:t xml:space="preserve">. </w:t>
      </w:r>
      <w:r w:rsidRPr="00C06811">
        <w:t>Интенсификация процесса увеличения в структуре экономики доли секторов с высокой добавленной стоимостью и развитие технологий информационного общества</w:t>
      </w:r>
      <w:r w:rsidR="00C06811" w:rsidRPr="00C06811">
        <w:t xml:space="preserve">: </w:t>
      </w:r>
      <w:r w:rsidRPr="00C06811">
        <w:t>до 2006 г</w:t>
      </w:r>
      <w:r w:rsidR="00C06811" w:rsidRPr="00C06811">
        <w:t xml:space="preserve">. </w:t>
      </w:r>
      <w:r w:rsidRPr="00C06811">
        <w:t>предусматрива</w:t>
      </w:r>
      <w:r w:rsidR="00AC148E" w:rsidRPr="00C06811">
        <w:t>ла</w:t>
      </w:r>
      <w:r w:rsidRPr="00C06811">
        <w:t xml:space="preserve"> увеличение доли работающих в секторе услуг на 1,6 проц</w:t>
      </w:r>
      <w:r w:rsidR="00C06811" w:rsidRPr="00C06811">
        <w:t xml:space="preserve">. </w:t>
      </w:r>
      <w:r w:rsidRPr="00C06811">
        <w:t>пункта и рост расходов на НИОКР до 1,5</w:t>
      </w:r>
      <w:r w:rsidR="00C06811" w:rsidRPr="00C06811">
        <w:t>%</w:t>
      </w:r>
      <w:r w:rsidRPr="00C06811">
        <w:t xml:space="preserve"> ВВП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Реализация этой задачи треб</w:t>
      </w:r>
      <w:r w:rsidR="00AC148E" w:rsidRPr="00C06811">
        <w:t>овала</w:t>
      </w:r>
      <w:r w:rsidRPr="00C06811">
        <w:t xml:space="preserve"> продолжения процессов реструктуризации и эффективной поддержки занятости</w:t>
      </w:r>
      <w:r w:rsidR="00C06811" w:rsidRPr="00C06811">
        <w:t xml:space="preserve">. </w:t>
      </w:r>
      <w:r w:rsidRPr="00C06811">
        <w:t>Предусматрива</w:t>
      </w:r>
      <w:r w:rsidR="00AC148E" w:rsidRPr="00C06811">
        <w:t>лось</w:t>
      </w:r>
      <w:r w:rsidRPr="00C06811">
        <w:t>, в частности, ограничение занятости в сельском хозяйстве и ее рост в сфере услуг</w:t>
      </w:r>
      <w:r w:rsidR="00C06811">
        <w:t xml:space="preserve"> (</w:t>
      </w:r>
      <w:r w:rsidRPr="00C06811">
        <w:t>в т</w:t>
      </w:r>
      <w:r w:rsidR="00C06811" w:rsidRPr="00C06811">
        <w:t xml:space="preserve">. </w:t>
      </w:r>
      <w:r w:rsidRPr="00C06811">
        <w:t>ч</w:t>
      </w:r>
      <w:r w:rsidR="00C06811" w:rsidRPr="00C06811">
        <w:t xml:space="preserve">. </w:t>
      </w:r>
      <w:r w:rsidRPr="00C06811">
        <w:t>в туристических</w:t>
      </w:r>
      <w:r w:rsidR="00C06811" w:rsidRPr="00C06811">
        <w:t>),</w:t>
      </w:r>
      <w:r w:rsidRPr="00C06811">
        <w:t xml:space="preserve"> а также увеличение доли секторов с высокой продуктивност</w:t>
      </w:r>
      <w:r w:rsidR="00AC148E" w:rsidRPr="00C06811">
        <w:t>ью и производительностью труда</w:t>
      </w:r>
      <w:r w:rsidR="00C06811">
        <w:t xml:space="preserve"> (</w:t>
      </w:r>
      <w:r w:rsidRPr="00C06811">
        <w:t>в частности, строительства</w:t>
      </w:r>
      <w:r w:rsidR="00C06811" w:rsidRPr="00C06811">
        <w:t xml:space="preserve">) </w:t>
      </w:r>
      <w:r w:rsidRPr="00C06811">
        <w:t>в создании ВВП и реструктуризация традиционных отраслей промышленности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Для реализации этой задачи потреб</w:t>
      </w:r>
      <w:r w:rsidR="00AC148E" w:rsidRPr="00C06811">
        <w:t>овалось</w:t>
      </w:r>
      <w:r w:rsidRPr="00C06811">
        <w:t xml:space="preserve"> увеличить расходы на НИОКР, особенно в тех областях, где их результаты могут быть использованы непосредственно для повышения динамики развития предприятий, а в более длительной перспективе</w:t>
      </w:r>
      <w:r w:rsidR="00C06811" w:rsidRPr="00C06811">
        <w:t xml:space="preserve"> - </w:t>
      </w:r>
      <w:r w:rsidRPr="00C06811">
        <w:t>для создания фундамента новой экономики путем развития технологий информационного общества</w:t>
      </w:r>
      <w:r w:rsidR="00C06811" w:rsidRPr="00C06811">
        <w:t xml:space="preserve">. </w:t>
      </w:r>
      <w:r w:rsidRPr="00C06811">
        <w:t>Это б</w:t>
      </w:r>
      <w:r w:rsidR="00AC148E" w:rsidRPr="00C06811">
        <w:t>ыла</w:t>
      </w:r>
      <w:r w:rsidRPr="00C06811">
        <w:t xml:space="preserve"> одна из основ интенсификации процесса структурных изменений и обеспечения конкурентоспособности польской экономики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5</w:t>
      </w:r>
      <w:r w:rsidR="00C06811" w:rsidRPr="00C06811">
        <w:t xml:space="preserve">. </w:t>
      </w:r>
      <w:r w:rsidRPr="00C06811">
        <w:t>Поддержка участвующих в процессах развития и модернизации изо всех регионов и социальных групп</w:t>
      </w:r>
      <w:r w:rsidR="00C06811" w:rsidRPr="00C06811">
        <w:t xml:space="preserve">. </w:t>
      </w:r>
      <w:r w:rsidRPr="00C06811">
        <w:t xml:space="preserve">Она </w:t>
      </w:r>
      <w:r w:rsidR="00AC148E" w:rsidRPr="00C06811">
        <w:t>состояла</w:t>
      </w:r>
      <w:r w:rsidRPr="00C06811">
        <w:t xml:space="preserve"> в постепенном сокращении межрегиональных различий как в уровне безработицы, так и в производстве ВВП на одного жителя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Достижение этой цели треб</w:t>
      </w:r>
      <w:r w:rsidR="00AC148E" w:rsidRPr="00C06811">
        <w:t>овало</w:t>
      </w:r>
      <w:r w:rsidRPr="00C06811">
        <w:t xml:space="preserve"> противодействия растущей диспропорции между отдельными регионами и общественными группами</w:t>
      </w:r>
      <w:r w:rsidR="00C06811" w:rsidRPr="00C06811">
        <w:t xml:space="preserve">. </w:t>
      </w:r>
      <w:r w:rsidRPr="00C06811">
        <w:t>Это связано как с необходимостью координации мер, направленных на развитие на региональном уровне и проведением государством активной и комплексной региональной политики, так и с поощрением профессиональной и общественной интеграции групп, стоящих перед угрозой социальной деградации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Политика преодоления слабых сторон польской экономики и достижения стратегических целей должна</w:t>
      </w:r>
      <w:r w:rsidR="00AC148E" w:rsidRPr="00C06811">
        <w:t xml:space="preserve"> была</w:t>
      </w:r>
      <w:r w:rsidRPr="00C06811">
        <w:t xml:space="preserve"> опираться на эффективное использование шансов, вытекающих из членства в Европейском союзе, создание благоприятных макроэкономических условий при помощи соответствующей фискальной и денежной политики, правового регулирования, а также на правильное определение направлений вмешательства государства в ход процессов развития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>Реализацию вышеуказанных промежуточных целей следует рассматривать комплексно и взаимосвязано</w:t>
      </w:r>
      <w:r w:rsidR="00C06811" w:rsidRPr="00C06811">
        <w:t xml:space="preserve">. </w:t>
      </w:r>
      <w:r w:rsidRPr="00C06811">
        <w:t>Достижение каждой из них</w:t>
      </w:r>
      <w:r w:rsidR="009764BE" w:rsidRPr="00C06811">
        <w:t xml:space="preserve"> было</w:t>
      </w:r>
      <w:r w:rsidRPr="00C06811">
        <w:t xml:space="preserve"> обусловлено прогрессом в осуществлении других промежуточных целей</w:t>
      </w:r>
      <w:r w:rsidR="00C06811" w:rsidRPr="00C06811">
        <w:t xml:space="preserve">. </w:t>
      </w:r>
      <w:r w:rsidRPr="00C06811">
        <w:t>Финансовые средства, предназначенные для поддержки на</w:t>
      </w:r>
      <w:r w:rsidR="009764BE" w:rsidRPr="00C06811">
        <w:t>меченных в НПР целей шли</w:t>
      </w:r>
      <w:r w:rsidRPr="00C06811">
        <w:t xml:space="preserve"> из бюджета Европейского союза</w:t>
      </w:r>
      <w:r w:rsidR="00C06811">
        <w:t xml:space="preserve"> (</w:t>
      </w:r>
      <w:r w:rsidRPr="00C06811">
        <w:t>структурные фонды и Фонд сплочения</w:t>
      </w:r>
      <w:r w:rsidR="00C06811" w:rsidRPr="00C06811">
        <w:t>),</w:t>
      </w:r>
      <w:r w:rsidRPr="00C06811">
        <w:t xml:space="preserve"> а также из отечественных источников</w:t>
      </w:r>
      <w:r w:rsidR="00C06811">
        <w:t xml:space="preserve"> (</w:t>
      </w:r>
      <w:r w:rsidRPr="00C06811">
        <w:t>государственного бюджета, бюджетов органов территориального самоуправления, целевых фондов</w:t>
      </w:r>
      <w:r w:rsidR="00C06811" w:rsidRPr="00C06811">
        <w:t xml:space="preserve">). </w:t>
      </w:r>
      <w:r w:rsidRPr="00C06811">
        <w:t>Основой и принципом их расходования б</w:t>
      </w:r>
      <w:r w:rsidR="009764BE" w:rsidRPr="00C06811">
        <w:t>ыла</w:t>
      </w:r>
      <w:r w:rsidRPr="00C06811">
        <w:t xml:space="preserve"> экономическая эффективность, а также предварительный анализ, доказывающий положительное влияние проекта на достижение намеченных целей</w:t>
      </w:r>
      <w:r w:rsidR="00C06811" w:rsidRPr="00C06811">
        <w:t xml:space="preserve">. </w:t>
      </w:r>
      <w:r w:rsidRPr="00C06811">
        <w:t>Одновременно реализация НПР б</w:t>
      </w:r>
      <w:r w:rsidR="009764BE" w:rsidRPr="00C06811">
        <w:t>ыла</w:t>
      </w:r>
      <w:r w:rsidRPr="00C06811">
        <w:t xml:space="preserve"> подчинена принципам политики общественно-экономической гармонизации в рамках ЕС, </w:t>
      </w:r>
      <w:r w:rsidR="00C06811">
        <w:t>т.е.:</w:t>
      </w:r>
    </w:p>
    <w:p w:rsidR="00C06811" w:rsidRDefault="00612D61" w:rsidP="00C06811">
      <w:pPr>
        <w:ind w:firstLine="709"/>
      </w:pPr>
      <w:r w:rsidRPr="00C06811">
        <w:t>• принципу концентрации интервенционной деятельности на ограниченном числе проектов, согласно степени важности поставленных задач</w:t>
      </w:r>
      <w:r w:rsidR="00C06811" w:rsidRPr="00C06811">
        <w:t>;</w:t>
      </w:r>
    </w:p>
    <w:p w:rsidR="00C06811" w:rsidRDefault="00612D61" w:rsidP="00C06811">
      <w:pPr>
        <w:ind w:firstLine="709"/>
      </w:pPr>
      <w:r w:rsidRPr="00C06811">
        <w:t>• принципу координации политики отдельных секторов и региональной политики в целом, а также теми мерами в рамках НПР, которые не финансируются из структурных фондов</w:t>
      </w:r>
      <w:r w:rsidR="00C06811" w:rsidRPr="00C06811">
        <w:t>;</w:t>
      </w:r>
    </w:p>
    <w:p w:rsidR="00C06811" w:rsidRDefault="00612D61" w:rsidP="00C06811">
      <w:pPr>
        <w:ind w:firstLine="709"/>
      </w:pPr>
      <w:r w:rsidRPr="00C06811">
        <w:t>• принципу</w:t>
      </w:r>
      <w:r w:rsidR="00C06811">
        <w:t xml:space="preserve"> "</w:t>
      </w:r>
      <w:r w:rsidRPr="00C06811">
        <w:t>дополняемости</w:t>
      </w:r>
      <w:r w:rsidR="00C06811">
        <w:t xml:space="preserve">", </w:t>
      </w:r>
      <w:r w:rsidRPr="00C06811">
        <w:t>который означает, что средства ЕС будут не заменять, а дополнять государственные субсидии</w:t>
      </w:r>
      <w:r w:rsidR="00C06811" w:rsidRPr="00C06811">
        <w:t>;</w:t>
      </w:r>
    </w:p>
    <w:p w:rsidR="00C06811" w:rsidRDefault="00612D61" w:rsidP="00C06811">
      <w:pPr>
        <w:ind w:firstLine="709"/>
      </w:pPr>
      <w:r w:rsidRPr="00C06811">
        <w:t>• принципу партнерства, основанному на обеспечении равных возможностей и широком участии заинтересованных институтов и организаций на всех этапах реализации НПР</w:t>
      </w:r>
      <w:r w:rsidR="00C06811" w:rsidRPr="00C06811">
        <w:t>.</w:t>
      </w:r>
    </w:p>
    <w:p w:rsidR="00C06811" w:rsidRDefault="00612D61" w:rsidP="00C06811">
      <w:pPr>
        <w:ind w:firstLine="709"/>
      </w:pPr>
      <w:r w:rsidRPr="00C06811">
        <w:t xml:space="preserve">Расходы, осуществляемые в рамках НПР, </w:t>
      </w:r>
      <w:r w:rsidR="009764BE" w:rsidRPr="00C06811">
        <w:t>касал</w:t>
      </w:r>
      <w:r w:rsidR="00C06811">
        <w:t>и</w:t>
      </w:r>
      <w:r w:rsidR="009764BE" w:rsidRPr="00C06811">
        <w:t>сь</w:t>
      </w:r>
      <w:r w:rsidRPr="00C06811">
        <w:t xml:space="preserve"> прежде всего</w:t>
      </w:r>
      <w:r w:rsidR="00C06811" w:rsidRPr="00C06811">
        <w:t>:</w:t>
      </w:r>
    </w:p>
    <w:p w:rsidR="00C06811" w:rsidRDefault="00612D61" w:rsidP="00C06811">
      <w:pPr>
        <w:ind w:firstLine="709"/>
      </w:pPr>
      <w:r w:rsidRPr="00C06811">
        <w:t>• предприятий</w:t>
      </w:r>
      <w:r w:rsidR="00C06811">
        <w:t xml:space="preserve"> (</w:t>
      </w:r>
      <w:r w:rsidRPr="00C06811">
        <w:t>преимущественно малых и средних</w:t>
      </w:r>
      <w:r w:rsidR="00C06811" w:rsidRPr="00C06811">
        <w:t>);</w:t>
      </w:r>
    </w:p>
    <w:p w:rsidR="00C06811" w:rsidRDefault="00612D61" w:rsidP="00C06811">
      <w:pPr>
        <w:ind w:firstLine="709"/>
      </w:pPr>
      <w:r w:rsidRPr="00C06811">
        <w:t>• инфраструктуры</w:t>
      </w:r>
      <w:r w:rsidR="00C06811">
        <w:t xml:space="preserve"> (</w:t>
      </w:r>
      <w:r w:rsidRPr="00C06811">
        <w:t>прежде всего транспортной и защиты окружающей среды</w:t>
      </w:r>
      <w:r w:rsidR="00C06811" w:rsidRPr="00C06811">
        <w:t>);</w:t>
      </w:r>
    </w:p>
    <w:p w:rsidR="00C06811" w:rsidRDefault="00612D61" w:rsidP="00C06811">
      <w:pPr>
        <w:ind w:firstLine="709"/>
      </w:pPr>
      <w:r w:rsidRPr="00C06811">
        <w:t>• человеческих ресурсов</w:t>
      </w:r>
      <w:r w:rsidR="00C06811">
        <w:t xml:space="preserve"> (</w:t>
      </w:r>
      <w:r w:rsidRPr="00C06811">
        <w:t>в т</w:t>
      </w:r>
      <w:r w:rsidR="00C06811" w:rsidRPr="00C06811">
        <w:t xml:space="preserve">. </w:t>
      </w:r>
      <w:r w:rsidRPr="00C06811">
        <w:t>ч</w:t>
      </w:r>
      <w:r w:rsidR="00C06811" w:rsidRPr="00C06811">
        <w:t xml:space="preserve">. </w:t>
      </w:r>
      <w:r w:rsidRPr="00C06811">
        <w:t>образования и активной политики на рынке труда</w:t>
      </w:r>
      <w:r w:rsidR="00C06811" w:rsidRPr="00C06811">
        <w:t>).</w:t>
      </w:r>
    </w:p>
    <w:p w:rsidR="00C06811" w:rsidRPr="00C06811" w:rsidRDefault="00612D61" w:rsidP="00C06811">
      <w:pPr>
        <w:ind w:firstLine="709"/>
      </w:pPr>
      <w:r w:rsidRPr="00C06811">
        <w:t>Национальный план развития на 2004-2006 гг</w:t>
      </w:r>
      <w:r w:rsidR="00C06811" w:rsidRPr="00C06811">
        <w:t xml:space="preserve">. </w:t>
      </w:r>
      <w:r w:rsidRPr="00C06811">
        <w:t>внедря</w:t>
      </w:r>
      <w:r w:rsidR="009764BE" w:rsidRPr="00C06811">
        <w:t>лся</w:t>
      </w:r>
      <w:r w:rsidRPr="00C06811">
        <w:t xml:space="preserve"> в рамках семи операционных программ</w:t>
      </w:r>
      <w:r w:rsidR="00C06811" w:rsidRPr="00C06811">
        <w:t xml:space="preserve"> - </w:t>
      </w:r>
      <w:r w:rsidRPr="00C06811">
        <w:t>пяти программ для отдельных секторов</w:t>
      </w:r>
      <w:r w:rsidR="00C06811">
        <w:t xml:space="preserve"> (</w:t>
      </w:r>
      <w:r w:rsidRPr="00C06811">
        <w:t>повышение конкурентоспособности экономики, развитие человеческих ресурсов, реструктуризация и модернизация продовольственного сектора, а также развитие сельской местности, рыболовство и переработка рыбы, морское хозяйство</w:t>
      </w:r>
      <w:r w:rsidR="00C06811" w:rsidRPr="00C06811">
        <w:t>),</w:t>
      </w:r>
      <w:r w:rsidRPr="00C06811">
        <w:t xml:space="preserve"> интегрированной операционной программы регионального развития, а также программы технической помощи</w:t>
      </w:r>
      <w:r w:rsidR="00C06811" w:rsidRPr="00C06811">
        <w:t xml:space="preserve">. </w:t>
      </w:r>
      <w:r w:rsidRPr="00C06811">
        <w:t>Финансовые средства, предназначенные на осуществление этих программ</w:t>
      </w:r>
      <w:r w:rsidR="00C06811" w:rsidRPr="00C06811">
        <w:t xml:space="preserve"> - </w:t>
      </w:r>
      <w:r w:rsidRPr="00C06811">
        <w:t>с разбивкой на средства из структурных фондов ЕС и из собственных источников</w:t>
      </w:r>
      <w:r w:rsidR="00C06811" w:rsidRPr="00C06811">
        <w:t xml:space="preserve"> - </w:t>
      </w:r>
      <w:r w:rsidRPr="00C06811">
        <w:t>были представлены в пункте Ш</w:t>
      </w:r>
      <w:r w:rsidR="00C06811">
        <w:t>.4</w:t>
      </w:r>
      <w:r w:rsidR="00C06811" w:rsidRPr="00C06811">
        <w:t xml:space="preserve">. </w:t>
      </w:r>
      <w:r w:rsidRPr="00C06811">
        <w:t>В структуре финансирования акцент дела</w:t>
      </w:r>
      <w:r w:rsidR="009764BE" w:rsidRPr="00C06811">
        <w:t>лся</w:t>
      </w:r>
      <w:r w:rsidRPr="00C06811">
        <w:t xml:space="preserve"> на развитие регионов, конкурентоспособность экономики, а также развитие человеческих ресурсов и сельской местности</w:t>
      </w:r>
      <w:r w:rsidR="00C06811" w:rsidRPr="00C06811">
        <w:t xml:space="preserve">. </w:t>
      </w:r>
      <w:r w:rsidR="00C27941" w:rsidRPr="00C06811">
        <w:rPr>
          <w:rStyle w:val="a8"/>
          <w:color w:val="000000"/>
        </w:rPr>
        <w:footnoteReference w:id="4"/>
      </w:r>
    </w:p>
    <w:p w:rsidR="00C06811" w:rsidRDefault="00C06811" w:rsidP="00C06811">
      <w:pPr>
        <w:ind w:firstLine="709"/>
      </w:pPr>
    </w:p>
    <w:p w:rsidR="00C06811" w:rsidRPr="00C06811" w:rsidRDefault="00C06811" w:rsidP="00C06811">
      <w:pPr>
        <w:pStyle w:val="2"/>
      </w:pPr>
      <w:bookmarkStart w:id="8" w:name="_Toc256627453"/>
      <w:r>
        <w:t xml:space="preserve">3.2 </w:t>
      </w:r>
      <w:r w:rsidR="008D6DD2" w:rsidRPr="00C06811">
        <w:t>Экономика Польши в 2006-2008</w:t>
      </w:r>
      <w:r w:rsidR="009764BE" w:rsidRPr="00C06811">
        <w:t xml:space="preserve"> г</w:t>
      </w:r>
      <w:r w:rsidR="008D6DD2" w:rsidRPr="00C06811">
        <w:t>одах</w:t>
      </w:r>
      <w:bookmarkEnd w:id="8"/>
    </w:p>
    <w:p w:rsidR="00C06811" w:rsidRDefault="00C06811" w:rsidP="00C06811">
      <w:pPr>
        <w:ind w:firstLine="709"/>
      </w:pPr>
    </w:p>
    <w:p w:rsidR="00C06811" w:rsidRDefault="008D6DD2" w:rsidP="00C06811">
      <w:pPr>
        <w:ind w:firstLine="709"/>
      </w:pPr>
      <w:r w:rsidRPr="00C06811">
        <w:t>Экономика Польши с</w:t>
      </w:r>
      <w:r w:rsidR="009764BE" w:rsidRPr="00C06811">
        <w:t xml:space="preserve"> 2006 году росла более высокими темпами, чем от нее ожидали</w:t>
      </w:r>
      <w:r w:rsidR="00C06811" w:rsidRPr="00C06811">
        <w:t xml:space="preserve">. </w:t>
      </w:r>
      <w:r w:rsidR="009764BE" w:rsidRPr="00C06811">
        <w:t>По данным польского бюро статистики, в прошлом году ВВП вырос на 5,8</w:t>
      </w:r>
      <w:r w:rsidR="00C06811" w:rsidRPr="00C06811">
        <w:t xml:space="preserve">% - </w:t>
      </w:r>
      <w:r w:rsidR="009764BE" w:rsidRPr="00C06811">
        <w:t>значительный подъем</w:t>
      </w:r>
      <w:r w:rsidRPr="00C06811">
        <w:t xml:space="preserve"> по сравнению с показателем 2007</w:t>
      </w:r>
      <w:r w:rsidR="009764BE" w:rsidRPr="00C06811">
        <w:t xml:space="preserve"> года</w:t>
      </w:r>
      <w:r w:rsidR="00C06811">
        <w:t xml:space="preserve"> (</w:t>
      </w:r>
      <w:r w:rsidR="009764BE" w:rsidRPr="00C06811">
        <w:t>3,5</w:t>
      </w:r>
      <w:r w:rsidR="00C06811" w:rsidRPr="00C06811">
        <w:t xml:space="preserve">%). </w:t>
      </w:r>
      <w:r w:rsidR="009764BE" w:rsidRPr="00C06811">
        <w:t>Результат оказался более высоким, чем консенсус-прогнозы</w:t>
      </w:r>
      <w:r w:rsidR="00C06811" w:rsidRPr="00C06811">
        <w:t xml:space="preserve">. </w:t>
      </w:r>
      <w:r w:rsidR="009764BE" w:rsidRPr="00C06811">
        <w:t>Так, опрос 15 экономистов агентством Bloomberg еще в октябре предсказывал рост всего в 5,6</w:t>
      </w:r>
      <w:r w:rsidR="00C06811" w:rsidRPr="00C06811">
        <w:t>%.</w:t>
      </w:r>
    </w:p>
    <w:p w:rsidR="00C06811" w:rsidRDefault="009764BE" w:rsidP="00C06811">
      <w:pPr>
        <w:ind w:firstLine="709"/>
      </w:pPr>
      <w:r w:rsidRPr="00C06811">
        <w:t xml:space="preserve">Подъем </w:t>
      </w:r>
      <w:r w:rsidR="008D6DD2" w:rsidRPr="00C06811">
        <w:t>с</w:t>
      </w:r>
      <w:r w:rsidRPr="00C06811">
        <w:t xml:space="preserve"> 2006 году выглядит особенно впечатляющим на фоне низких темпов роста</w:t>
      </w:r>
      <w:r w:rsidR="00C06811">
        <w:t xml:space="preserve"> (</w:t>
      </w:r>
      <w:r w:rsidRPr="00C06811">
        <w:t>всего 1,3</w:t>
      </w:r>
      <w:r w:rsidR="00C06811" w:rsidRPr="00C06811">
        <w:t xml:space="preserve">%) </w:t>
      </w:r>
      <w:r w:rsidRPr="00C06811">
        <w:t>в начале нынешнего десятилетия</w:t>
      </w:r>
      <w:r w:rsidR="00C06811" w:rsidRPr="00C06811">
        <w:t>.</w:t>
      </w:r>
    </w:p>
    <w:p w:rsidR="00C06811" w:rsidRDefault="009764BE" w:rsidP="00C06811">
      <w:pPr>
        <w:ind w:firstLine="709"/>
      </w:pPr>
      <w:r w:rsidRPr="00C06811">
        <w:t>Ускорение роста стало возможным за счет роста экспорта, благодаря чему компании смогли нанять больше персонала</w:t>
      </w:r>
      <w:r w:rsidR="00C06811" w:rsidRPr="00C06811">
        <w:t xml:space="preserve">. </w:t>
      </w:r>
      <w:r w:rsidRPr="00C06811">
        <w:t>По предварительным данным, в 2006 году экспорт</w:t>
      </w:r>
      <w:r w:rsidR="00C06811">
        <w:t xml:space="preserve"> (</w:t>
      </w:r>
      <w:r w:rsidRPr="00C06811">
        <w:t>включая экспорт услуг</w:t>
      </w:r>
      <w:r w:rsidR="00C06811" w:rsidRPr="00C06811">
        <w:t xml:space="preserve">) </w:t>
      </w:r>
      <w:r w:rsidRPr="00C06811">
        <w:t>вырос на 16</w:t>
      </w:r>
      <w:r w:rsidR="00C06811" w:rsidRPr="00C06811">
        <w:t>%</w:t>
      </w:r>
      <w:r w:rsidRPr="00C06811">
        <w:t>, опередив рост импорта</w:t>
      </w:r>
      <w:r w:rsidR="00C06811">
        <w:t xml:space="preserve"> (</w:t>
      </w:r>
      <w:r w:rsidRPr="00C06811">
        <w:t>13</w:t>
      </w:r>
      <w:r w:rsidR="00C06811" w:rsidRPr="00C06811">
        <w:t xml:space="preserve">%). </w:t>
      </w:r>
      <w:r w:rsidRPr="00C06811">
        <w:t>Одновременно с этим произошло снижение процентных ставок, что позволило компаниям привлекать больше кредитов для инвестиций</w:t>
      </w:r>
      <w:r w:rsidR="00C06811" w:rsidRPr="00C06811">
        <w:t>.</w:t>
      </w:r>
      <w:r w:rsidR="00C06811">
        <w:t xml:space="preserve"> "</w:t>
      </w:r>
      <w:r w:rsidRPr="00C06811">
        <w:t>Рост оказался более высоким благодаря хорошим показателям последнего квартала, во время которого внутренний рынок рос из-за роста зарплат и снижения инфляции</w:t>
      </w:r>
      <w:r w:rsidR="00C06811">
        <w:t xml:space="preserve">", </w:t>
      </w:r>
      <w:r w:rsidR="00C06811" w:rsidRPr="00C06811">
        <w:t xml:space="preserve">- </w:t>
      </w:r>
      <w:r w:rsidRPr="00C06811">
        <w:t>отметил в своем отчете о состоянии польской экономики Аркадиуш Кшесняк, главный экономист офиса Deutsche Bank в Варшаве</w:t>
      </w:r>
      <w:r w:rsidR="00C06811" w:rsidRPr="00C06811">
        <w:t>.</w:t>
      </w:r>
    </w:p>
    <w:p w:rsidR="00C06811" w:rsidRDefault="009764BE" w:rsidP="00C06811">
      <w:pPr>
        <w:ind w:firstLine="709"/>
      </w:pPr>
      <w:r w:rsidRPr="00C06811">
        <w:t>Вступление Польши в Евросоюз в 2004 году повысило спрос на польские товары, благодаря чему компании смогли нанимать больше персонала и повышать зарплаты</w:t>
      </w:r>
      <w:r w:rsidR="00C06811" w:rsidRPr="00C06811">
        <w:t xml:space="preserve">. </w:t>
      </w:r>
      <w:r w:rsidRPr="00C06811">
        <w:t>Вступление в ЕС поддержало высокий уровень прямых иностранных инвестиций</w:t>
      </w:r>
      <w:r w:rsidR="00C06811" w:rsidRPr="00C06811">
        <w:t xml:space="preserve">. </w:t>
      </w:r>
      <w:r w:rsidRPr="00C06811">
        <w:t>В 2005 году в Польшу было инвестировано 6,7 млрд</w:t>
      </w:r>
      <w:r w:rsidR="00C06811" w:rsidRPr="00C06811">
        <w:t xml:space="preserve">. </w:t>
      </w:r>
      <w:r w:rsidRPr="00C06811">
        <w:t>долларо</w:t>
      </w:r>
      <w:r w:rsidR="008D6DD2" w:rsidRPr="00C06811">
        <w:t xml:space="preserve">в, в 2006−м </w:t>
      </w:r>
      <w:r w:rsidR="00C06811">
        <w:t>-</w:t>
      </w:r>
      <w:r w:rsidR="008D6DD2" w:rsidRPr="00C06811">
        <w:t xml:space="preserve"> 9,4 млрд</w:t>
      </w:r>
      <w:r w:rsidR="00C06811" w:rsidRPr="00C06811">
        <w:t xml:space="preserve">. </w:t>
      </w:r>
      <w:r w:rsidR="008D6DD2" w:rsidRPr="00C06811">
        <w:t xml:space="preserve">долларов, в 2007 </w:t>
      </w:r>
      <w:r w:rsidR="00C06811">
        <w:t>-</w:t>
      </w:r>
      <w:r w:rsidR="008D6DD2" w:rsidRPr="00C06811">
        <w:t xml:space="preserve"> м </w:t>
      </w:r>
      <w:r w:rsidR="00C06811">
        <w:t>-</w:t>
      </w:r>
      <w:r w:rsidR="008D6DD2" w:rsidRPr="00C06811">
        <w:t xml:space="preserve"> 11,8 млрд</w:t>
      </w:r>
      <w:r w:rsidR="00C06811" w:rsidRPr="00C06811">
        <w:t xml:space="preserve">. </w:t>
      </w:r>
      <w:r w:rsidR="008D6DD2" w:rsidRPr="00C06811">
        <w:t>долларов</w:t>
      </w:r>
      <w:r w:rsidR="00C06811" w:rsidRPr="00C06811">
        <w:t xml:space="preserve">. </w:t>
      </w:r>
      <w:r w:rsidRPr="00C06811">
        <w:t>За последние семь лет накопленные прямые иностранные инвестиции составили 51,5 млрд</w:t>
      </w:r>
      <w:r w:rsidR="00C06811" w:rsidRPr="00C06811">
        <w:t xml:space="preserve">. </w:t>
      </w:r>
      <w:r w:rsidRPr="00C06811">
        <w:t xml:space="preserve">долларов </w:t>
      </w:r>
      <w:r w:rsidR="00C06811">
        <w:t>-</w:t>
      </w:r>
      <w:r w:rsidRPr="00C06811">
        <w:t xml:space="preserve"> 1 350 долларов на душу населения</w:t>
      </w:r>
      <w:r w:rsidR="00C06811" w:rsidRPr="00C06811">
        <w:t>.</w:t>
      </w:r>
      <w:r w:rsidR="003220B0">
        <w:t xml:space="preserve"> </w:t>
      </w:r>
      <w:r w:rsidRPr="00C06811">
        <w:t>Несмотря на экономический рост и повышение зарплат, в Польше сохраняется самая высокая в ЕС безработица</w:t>
      </w:r>
      <w:r w:rsidR="00C06811" w:rsidRPr="00C06811">
        <w:t xml:space="preserve">. </w:t>
      </w:r>
      <w:r w:rsidRPr="00C06811">
        <w:t>Благодаря росту и отъезду сотен тысяч поляков на работу в Британию, Ирландию и друг</w:t>
      </w:r>
      <w:r w:rsidR="008D6DD2" w:rsidRPr="00C06811">
        <w:t>ие страны ЕС, безработица в 2007</w:t>
      </w:r>
      <w:r w:rsidRPr="00C06811">
        <w:t xml:space="preserve"> году составила 15</w:t>
      </w:r>
      <w:r w:rsidR="00C06811" w:rsidRPr="00C06811">
        <w:t>%.</w:t>
      </w:r>
    </w:p>
    <w:p w:rsidR="00C06811" w:rsidRDefault="009764BE" w:rsidP="00C06811">
      <w:pPr>
        <w:ind w:firstLine="709"/>
      </w:pPr>
      <w:r w:rsidRPr="00C06811">
        <w:t>Хотя этот показатель удалось сократить с уровня 20</w:t>
      </w:r>
      <w:r w:rsidR="00C06811" w:rsidRPr="00C06811">
        <w:t>%</w:t>
      </w:r>
      <w:r w:rsidRPr="00C06811">
        <w:t xml:space="preserve"> в 2003 году, большинство экономистов полагают, что Польше потребуются годы высоких темпов роста, прежде чем безработица снизится до с</w:t>
      </w:r>
      <w:r w:rsidR="008D6DD2" w:rsidRPr="00C06811">
        <w:t>реднего по ЕС показателя</w:t>
      </w:r>
      <w:r w:rsidR="00C06811" w:rsidRPr="00C06811">
        <w:t xml:space="preserve">. </w:t>
      </w:r>
      <w:r w:rsidR="008D6DD2" w:rsidRPr="00C06811">
        <w:t>В 2009</w:t>
      </w:r>
      <w:r w:rsidRPr="00C06811">
        <w:t xml:space="preserve"> году экономический рост в Польше ожидается всего 4,1% ВПП</w:t>
      </w:r>
      <w:r w:rsidR="00C06811" w:rsidRPr="00C06811">
        <w:t>.</w:t>
      </w:r>
    </w:p>
    <w:p w:rsidR="00C06811" w:rsidRDefault="00C06811" w:rsidP="00C06811">
      <w:pPr>
        <w:pStyle w:val="2"/>
      </w:pPr>
      <w:r>
        <w:br w:type="page"/>
      </w:r>
      <w:bookmarkStart w:id="9" w:name="_Toc256627454"/>
      <w:r w:rsidR="00D53C7E" w:rsidRPr="00C06811">
        <w:t>Заключение</w:t>
      </w:r>
      <w:bookmarkEnd w:id="9"/>
    </w:p>
    <w:p w:rsidR="00C06811" w:rsidRDefault="00C06811" w:rsidP="00C06811">
      <w:pPr>
        <w:ind w:firstLine="709"/>
      </w:pPr>
    </w:p>
    <w:p w:rsidR="00C06811" w:rsidRDefault="00D53C7E" w:rsidP="00C06811">
      <w:pPr>
        <w:ind w:firstLine="709"/>
      </w:pPr>
      <w:r w:rsidRPr="00C06811">
        <w:t>В 1989 г</w:t>
      </w:r>
      <w:r w:rsidR="00C06811" w:rsidRPr="00C06811">
        <w:t xml:space="preserve">. </w:t>
      </w:r>
      <w:r w:rsidRPr="00C06811">
        <w:t>Польша запустила программу радикальных реформ с расчетом, что она будет поддержана международными финансовыми организациями и правительствами развитых стран</w:t>
      </w:r>
      <w:r w:rsidR="00C06811" w:rsidRPr="00C06811">
        <w:t xml:space="preserve">. </w:t>
      </w:r>
      <w:r w:rsidRPr="00C06811">
        <w:t>Стабилизационный фонд злотого, пополненный в результате двух первых программ МВФ</w:t>
      </w:r>
      <w:r w:rsidR="00C06811">
        <w:t xml:space="preserve"> (</w:t>
      </w:r>
      <w:r w:rsidRPr="00C06811">
        <w:t>соглашения о резервировании и расширенном кредитовании</w:t>
      </w:r>
      <w:r w:rsidR="00C06811" w:rsidRPr="00C06811">
        <w:t>),</w:t>
      </w:r>
      <w:r w:rsidRPr="00C06811">
        <w:t xml:space="preserve"> являлся базой для достижения макроэкономической стабилизации</w:t>
      </w:r>
      <w:r w:rsidR="00C06811" w:rsidRPr="00C06811">
        <w:t xml:space="preserve">. </w:t>
      </w:r>
      <w:r w:rsidRPr="00C06811">
        <w:t>Относительный успех первых реформ дал повод начать переговоры с Парижским клубом о списании части долга, что, в свою очередь, было беспрецедентно и могло считаться выражением доверия польским властям</w:t>
      </w:r>
      <w:r w:rsidR="00C06811" w:rsidRPr="00C06811">
        <w:t xml:space="preserve">. </w:t>
      </w:r>
      <w:r w:rsidRPr="00C06811">
        <w:t>Все это позволило добиться снижения долга в 1994 г</w:t>
      </w:r>
      <w:r w:rsidR="00C06811">
        <w:t>.,</w:t>
      </w:r>
      <w:r w:rsidRPr="00C06811">
        <w:t xml:space="preserve"> когда коммерческие кредиторы были уверены в успехе польских реформ и финансовой устойчивости ее экономики, что для них являлось залогом выплат по новому долгу, определенному в результате переговоров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Политика экономических реформ в Польше была направлена на преобразование плановой экономики в рыночную, что нашло отражение в первом Меморандуме польских реформаторов</w:t>
      </w:r>
      <w:r w:rsidR="00C06811" w:rsidRPr="00C06811">
        <w:t xml:space="preserve">. </w:t>
      </w:r>
      <w:r w:rsidRPr="00C06811">
        <w:t xml:space="preserve">Вопросы, рассмотренные в этом документе, были </w:t>
      </w:r>
      <w:r w:rsidR="00C837E1" w:rsidRPr="00C06811">
        <w:t>адресованы,</w:t>
      </w:r>
      <w:r w:rsidRPr="00C06811">
        <w:t xml:space="preserve"> прежде </w:t>
      </w:r>
      <w:r w:rsidR="00C837E1" w:rsidRPr="00C06811">
        <w:t>всего,</w:t>
      </w:r>
      <w:r w:rsidRPr="00C06811">
        <w:t xml:space="preserve"> МВФ и служили базой для заключения последующих соглашений о резервировании и расширенном кредитовании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Польские реформы решали три основные задачи</w:t>
      </w:r>
      <w:r w:rsidR="00C06811" w:rsidRPr="00C06811">
        <w:t xml:space="preserve">. </w:t>
      </w:r>
      <w:r w:rsidRPr="00C06811">
        <w:t>Поскольку Польша боролась в 1989 г</w:t>
      </w:r>
      <w:r w:rsidR="00C06811" w:rsidRPr="00C06811">
        <w:t xml:space="preserve">. </w:t>
      </w:r>
      <w:r w:rsidRPr="00C06811">
        <w:t>с гиперинфляцией,</w:t>
      </w:r>
      <w:r w:rsidR="00C06811">
        <w:t xml:space="preserve"> "</w:t>
      </w:r>
      <w:r w:rsidRPr="00C06811">
        <w:t>План Бальцеровича</w:t>
      </w:r>
      <w:r w:rsidR="00C06811">
        <w:t xml:space="preserve">" </w:t>
      </w:r>
      <w:r w:rsidRPr="00C06811">
        <w:t>предполагал достижение денежной и ценовой стабилизации в качестве главного ориентира краткосрочных мер</w:t>
      </w:r>
      <w:r w:rsidR="00C06811" w:rsidRPr="00C06811">
        <w:t xml:space="preserve">. </w:t>
      </w:r>
      <w:r w:rsidRPr="00C06811">
        <w:t>После этого считалась возможной глубокая долгосрочная структурная перестройка</w:t>
      </w:r>
      <w:r w:rsidR="00C06811" w:rsidRPr="00C06811">
        <w:t xml:space="preserve">. </w:t>
      </w:r>
      <w:r w:rsidRPr="00C06811">
        <w:t>Третья задача сводилась к получению международной экономической помощи и уменьшению размеров внешнего долга, что было необходимо для облегчения перехода к рынку и выходу Польши на международные финансовые рынки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Денежная и ценовая стабилизация была необходима для контроля над гиперинфляцией</w:t>
      </w:r>
      <w:r w:rsidR="00C06811" w:rsidRPr="00C06811">
        <w:t xml:space="preserve">. </w:t>
      </w:r>
      <w:r w:rsidRPr="00C06811">
        <w:t>Она должна была способствовать созданию эффективных денежных рынков и выравниванию относительных рыночных цен</w:t>
      </w:r>
      <w:r w:rsidR="00C06811" w:rsidRPr="00C06811">
        <w:t xml:space="preserve">. </w:t>
      </w:r>
      <w:r w:rsidRPr="00C06811">
        <w:t>Жесткие меры, предпринятые в области денежного регулирования, такие, как фиксированный и унифицированный обменный курс злотого по отношению к доллару, ограничение роста номинальной заработной платы и доступа предприятий к кредитам правительства</w:t>
      </w:r>
      <w:r w:rsidR="00C06811">
        <w:t xml:space="preserve"> (</w:t>
      </w:r>
      <w:r w:rsidRPr="00C06811">
        <w:t>элементы жесткой фискальной политики</w:t>
      </w:r>
      <w:r w:rsidR="00C06811" w:rsidRPr="00C06811">
        <w:t>),</w:t>
      </w:r>
      <w:r w:rsidRPr="00C06811">
        <w:t xml:space="preserve"> служили в качестве антиинфляционного якоря</w:t>
      </w:r>
      <w:r w:rsidR="00C06811" w:rsidRPr="00C06811">
        <w:t xml:space="preserve">. </w:t>
      </w:r>
      <w:r w:rsidRPr="00C06811">
        <w:t>Значительная либерализация цен и быстрое уменьшение объема внутренних субсидий, сопровождавшееся скачком инфляции в первые месяцы реформ, позволили существенно нивелировать ценовые диспропорции в экономике</w:t>
      </w:r>
      <w:r w:rsidR="00C06811" w:rsidRPr="00C06811">
        <w:t xml:space="preserve">. </w:t>
      </w:r>
      <w:r w:rsidRPr="00C06811">
        <w:t>Введение положительной реальной ставки процента, устанавливаемой под действием спроса и предложения, было первым шагом по созданию в Польше эффективного денежного рынка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Структурная перестройка затрагивала три основных процесса</w:t>
      </w:r>
      <w:r w:rsidR="00C06811" w:rsidRPr="00C06811">
        <w:t xml:space="preserve">: </w:t>
      </w:r>
      <w:r w:rsidRPr="00C06811">
        <w:t>либерализацию</w:t>
      </w:r>
      <w:r w:rsidR="00C06811" w:rsidRPr="00C06811">
        <w:t xml:space="preserve">; </w:t>
      </w:r>
      <w:r w:rsidRPr="00C06811">
        <w:t>существенное расширение частного сектора</w:t>
      </w:r>
      <w:r w:rsidR="00C06811" w:rsidRPr="00C06811">
        <w:t xml:space="preserve">; </w:t>
      </w:r>
      <w:r w:rsidRPr="00C06811">
        <w:t>формирование институтов рыночной экономики и развитие инфраструктуры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Либерализация предполагала</w:t>
      </w:r>
      <w:r w:rsidR="00C06811" w:rsidRPr="00C06811">
        <w:t>:</w:t>
      </w:r>
    </w:p>
    <w:p w:rsidR="00C06811" w:rsidRDefault="00D53C7E" w:rsidP="00C06811">
      <w:pPr>
        <w:ind w:firstLine="709"/>
      </w:pPr>
      <w:r w:rsidRPr="00C06811">
        <w:t>• в сфере торговли</w:t>
      </w:r>
      <w:r w:rsidR="00C06811" w:rsidRPr="00C06811">
        <w:t xml:space="preserve"> - </w:t>
      </w:r>
      <w:r w:rsidRPr="00C06811">
        <w:t>ликвидацию импортного и экспортного лицензирования, унификацию обменного курса и свободную конвертируемость валют, устранение или ослабление ценового контроля за исключением продовольственных товаров и услуг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в сфере бизнеса</w:t>
      </w:r>
      <w:r w:rsidR="00C06811" w:rsidRPr="00C06811">
        <w:t xml:space="preserve"> - </w:t>
      </w:r>
      <w:r w:rsidRPr="00C06811">
        <w:t>упрощение налоговой системы и снижение предельных ставок налогообложения для юридических и физических лиц, недискриминационное отношение ко всем экономическим агентам, выражавшееся, в частности, в отмене мягких бюджетных ограничений для предприятий общественного сектора, более эффективном применении процедуры банкротства, а также устранении барьеров входа и выхода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Расширения частного сектора предполагалось достичь посредством</w:t>
      </w:r>
      <w:r w:rsidR="00C06811" w:rsidRPr="00C06811">
        <w:t xml:space="preserve">: </w:t>
      </w:r>
      <w:r w:rsidRPr="00C06811">
        <w:t>• предоставления различного рода поддержки создающимся и развивающимся частным компаниям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быстрой приватизации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создания частной банковской системы и условий для привлечения международного банковского капитала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Формирование рыночных институтов и развитие рыночной инфраструктуры были необходимы для осуществления эффективной поддержки рыночных реформ и включали</w:t>
      </w:r>
      <w:r w:rsidR="00C06811" w:rsidRPr="00C06811">
        <w:t>:</w:t>
      </w:r>
    </w:p>
    <w:p w:rsidR="00C06811" w:rsidRDefault="00D53C7E" w:rsidP="00C06811">
      <w:pPr>
        <w:ind w:firstLine="709"/>
      </w:pPr>
      <w:r w:rsidRPr="00C06811">
        <w:t>• создание частных фондовых бирж и антимонопольных органов</w:t>
      </w:r>
      <w:r w:rsidR="00C06811" w:rsidRPr="00C06811">
        <w:t>;</w:t>
      </w:r>
    </w:p>
    <w:p w:rsidR="00C06811" w:rsidRDefault="00D53C7E" w:rsidP="00C06811">
      <w:pPr>
        <w:ind w:firstLine="709"/>
      </w:pPr>
      <w:r w:rsidRPr="00C06811">
        <w:t>• развитие системы социального страхования и рынка недвижимости</w:t>
      </w:r>
      <w:r w:rsidR="00C06811">
        <w:t xml:space="preserve"> (</w:t>
      </w:r>
      <w:r w:rsidRPr="00C06811">
        <w:t>с помощью этих мер создавались более благоприятные условия для мобильности труда</w:t>
      </w:r>
      <w:r w:rsidR="00C06811" w:rsidRPr="00C06811">
        <w:t>);</w:t>
      </w:r>
    </w:p>
    <w:p w:rsidR="00C06811" w:rsidRDefault="00D53C7E" w:rsidP="00C06811">
      <w:pPr>
        <w:ind w:firstLine="709"/>
      </w:pPr>
      <w:r w:rsidRPr="00C06811">
        <w:t>• перераспределение ресурсов из тяжелой промышленности в сферу услуг, производство потребительских товаров и гражданское строительство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Действия, предпринятые в рамках решения третьей основной задачи</w:t>
      </w:r>
      <w:r w:rsidR="00C06811" w:rsidRPr="00C06811">
        <w:t xml:space="preserve"> - </w:t>
      </w:r>
      <w:r w:rsidRPr="00C06811">
        <w:t>получения международной экономической помощи и уменьшения размера внешнего долга, предполагали более тесное сотрудничество с международными организациями по таким направлениям, как подготовка и реализация реформ</w:t>
      </w:r>
      <w:r w:rsidR="00C06811">
        <w:t xml:space="preserve"> (</w:t>
      </w:r>
      <w:r w:rsidRPr="00C06811">
        <w:t>техническая и финансовая помощь</w:t>
      </w:r>
      <w:r w:rsidR="00C06811" w:rsidRPr="00C06811">
        <w:t>),</w:t>
      </w:r>
      <w:r w:rsidRPr="00C06811">
        <w:t xml:space="preserve"> наряду с ведением переговоров с польскими кредиторами в отношении понижения суммы внешнего долга</w:t>
      </w:r>
      <w:r w:rsidR="00C06811" w:rsidRPr="00C06811">
        <w:t>.</w:t>
      </w:r>
    </w:p>
    <w:p w:rsidR="00C06811" w:rsidRDefault="00D53C7E" w:rsidP="00C06811">
      <w:pPr>
        <w:ind w:firstLine="709"/>
      </w:pPr>
      <w:r w:rsidRPr="00C06811">
        <w:t>Успех польских реформ 1990</w:t>
      </w:r>
      <w:r w:rsidR="00C06811" w:rsidRPr="00C06811">
        <w:t>-</w:t>
      </w:r>
      <w:r w:rsidRPr="00C06811">
        <w:t>1995 гг</w:t>
      </w:r>
      <w:r w:rsidR="00C06811" w:rsidRPr="00C06811">
        <w:t xml:space="preserve">. </w:t>
      </w:r>
      <w:r w:rsidRPr="00C06811">
        <w:t>был результатом радикального подхода со стороны правительства к минимизации социальных издержек, возникающих во время перехода к рыночной экономике, и широкой политической</w:t>
      </w:r>
      <w:r w:rsidR="00C06811">
        <w:t xml:space="preserve"> (</w:t>
      </w:r>
      <w:r w:rsidRPr="00C06811">
        <w:t>и социальной</w:t>
      </w:r>
      <w:r w:rsidR="00C06811" w:rsidRPr="00C06811">
        <w:t xml:space="preserve">) </w:t>
      </w:r>
      <w:r w:rsidRPr="00C06811">
        <w:t>поддержки со стороны Европейского сообщества</w:t>
      </w:r>
      <w:r w:rsidR="00C06811" w:rsidRPr="00C06811">
        <w:t xml:space="preserve">. </w:t>
      </w:r>
      <w:r w:rsidRPr="00C06811">
        <w:t>Независимо от политических событий и частых смен кабинета в 1990</w:t>
      </w:r>
      <w:r w:rsidR="00C06811" w:rsidRPr="00C06811">
        <w:t>-</w:t>
      </w:r>
      <w:r w:rsidRPr="00C06811">
        <w:t>1995 гг</w:t>
      </w:r>
      <w:r w:rsidR="00C06811" w:rsidRPr="00C06811">
        <w:t xml:space="preserve">. </w:t>
      </w:r>
      <w:r w:rsidRPr="00C06811">
        <w:t>правительство всегда имело поддержку большинства парламента</w:t>
      </w:r>
      <w:r w:rsidR="00C06811" w:rsidRPr="00C06811">
        <w:t xml:space="preserve">. </w:t>
      </w:r>
      <w:r w:rsidRPr="00C06811">
        <w:t>В то же время со стороны правительства не было намерения пересматривать общий ход реформ</w:t>
      </w:r>
      <w:r w:rsidR="00C06811" w:rsidRPr="00C06811">
        <w:t xml:space="preserve">. </w:t>
      </w:r>
      <w:r w:rsidRPr="00C06811">
        <w:t>Это позволяло говорить, что сотрудничество с МВФ носило в основном экономический, а не политический характер</w:t>
      </w:r>
      <w:r w:rsidR="00C06811" w:rsidRPr="00C06811">
        <w:t xml:space="preserve">. </w:t>
      </w:r>
      <w:r w:rsidRPr="00C06811">
        <w:t>Аналогичным образом кооперация с другими финансовыми институтами, такими, как Всемирный банк и Европейский банк реконструкции и развития, происходила в направлении проведения реформ, намеченных польским правительством</w:t>
      </w:r>
      <w:r w:rsidR="00C06811" w:rsidRPr="00C06811">
        <w:t xml:space="preserve">. </w:t>
      </w:r>
      <w:r w:rsidRPr="00C06811">
        <w:t>Все это давало МВФ основания для предоставления Польше поддержки, прежде всего по причине готовности польского правительства и всего общества в целом проводить экономические преобразования</w:t>
      </w:r>
      <w:r w:rsidR="00C06811" w:rsidRPr="00C06811">
        <w:t>.</w:t>
      </w:r>
    </w:p>
    <w:p w:rsidR="00C06811" w:rsidRPr="00C06811" w:rsidRDefault="00C06811" w:rsidP="00C06811">
      <w:pPr>
        <w:pStyle w:val="2"/>
      </w:pPr>
      <w:r>
        <w:br w:type="page"/>
      </w:r>
      <w:bookmarkStart w:id="10" w:name="_Toc256627455"/>
      <w:r w:rsidR="00C837E1" w:rsidRPr="00C06811">
        <w:t>Список использованных источников и литературы</w:t>
      </w:r>
      <w:bookmarkEnd w:id="10"/>
    </w:p>
    <w:p w:rsidR="00C06811" w:rsidRDefault="00C06811" w:rsidP="00C06811">
      <w:pPr>
        <w:ind w:firstLine="709"/>
      </w:pPr>
    </w:p>
    <w:p w:rsidR="00C06811" w:rsidRDefault="00C94A33" w:rsidP="00C06811">
      <w:pPr>
        <w:pStyle w:val="a0"/>
        <w:tabs>
          <w:tab w:val="left" w:pos="402"/>
        </w:tabs>
        <w:ind w:firstLine="0"/>
      </w:pPr>
      <w:r w:rsidRPr="00C06811">
        <w:t>Авдокушин Е</w:t>
      </w:r>
      <w:r w:rsidR="00C06811">
        <w:t xml:space="preserve">.Ф. </w:t>
      </w:r>
      <w:r w:rsidRPr="00C06811">
        <w:t>Международные экономические отношения</w:t>
      </w:r>
      <w:r w:rsidR="00C06811" w:rsidRPr="00C06811">
        <w:t xml:space="preserve">: </w:t>
      </w:r>
      <w:r w:rsidRPr="00C06811">
        <w:t>Учебное пособие</w:t>
      </w:r>
      <w:r w:rsidR="00C06811">
        <w:t>.4</w:t>
      </w:r>
      <w:r w:rsidRPr="00C06811">
        <w:t>-е изд</w:t>
      </w:r>
      <w:r w:rsidR="00C06811" w:rsidRPr="00C06811">
        <w:t xml:space="preserve">. </w:t>
      </w:r>
      <w:r w:rsidRPr="00C06811">
        <w:t>перераб</w:t>
      </w:r>
      <w:r w:rsidR="00C06811" w:rsidRPr="00C06811">
        <w:t xml:space="preserve">. </w:t>
      </w:r>
      <w:r w:rsidRPr="00C06811">
        <w:t>и доп</w:t>
      </w:r>
      <w:r w:rsidR="00C06811" w:rsidRPr="00C06811">
        <w:t>.</w:t>
      </w:r>
      <w:r w:rsidR="00C06811">
        <w:t xml:space="preserve"> // </w:t>
      </w:r>
      <w:r w:rsidRPr="00C06811">
        <w:t>СПб</w:t>
      </w:r>
      <w:r w:rsidR="00C06811">
        <w:t>.:</w:t>
      </w:r>
      <w:r w:rsidR="00C06811" w:rsidRPr="00C06811">
        <w:t xml:space="preserve"> </w:t>
      </w:r>
      <w:r w:rsidRPr="00C06811">
        <w:t>Маркетинг</w:t>
      </w:r>
      <w:r w:rsidR="00C06811" w:rsidRPr="00C06811">
        <w:t>., 19</w:t>
      </w:r>
      <w:r w:rsidRPr="00C06811">
        <w:t>99</w:t>
      </w:r>
      <w:r w:rsidR="00C06811" w:rsidRPr="00C06811">
        <w:t>. -</w:t>
      </w:r>
      <w:r w:rsidR="00C06811">
        <w:t xml:space="preserve"> </w:t>
      </w:r>
      <w:r w:rsidRPr="00C06811">
        <w:t>с</w:t>
      </w:r>
      <w:r w:rsidR="00C06811">
        <w:t>.1</w:t>
      </w:r>
      <w:r w:rsidRPr="00C06811">
        <w:t>89</w:t>
      </w:r>
      <w:r w:rsidR="00C06811" w:rsidRPr="00C06811">
        <w:t>.</w:t>
      </w:r>
    </w:p>
    <w:p w:rsidR="00C06811" w:rsidRDefault="005D7825" w:rsidP="00C06811">
      <w:pPr>
        <w:pStyle w:val="a0"/>
        <w:tabs>
          <w:tab w:val="left" w:pos="402"/>
        </w:tabs>
        <w:ind w:firstLine="0"/>
      </w:pPr>
      <w:r w:rsidRPr="00C06811">
        <w:t>Ломакин В</w:t>
      </w:r>
      <w:r w:rsidR="00C06811">
        <w:t xml:space="preserve">.К. </w:t>
      </w:r>
      <w:r w:rsidRPr="00C06811">
        <w:t>Мировая экономика / ЮНИТИ, 2008</w:t>
      </w:r>
      <w:r w:rsidR="00C06811" w:rsidRPr="00C06811">
        <w:t xml:space="preserve">. </w:t>
      </w:r>
      <w:r w:rsidR="00C06811">
        <w:t>-</w:t>
      </w:r>
      <w:r w:rsidRPr="00C06811">
        <w:t xml:space="preserve"> с</w:t>
      </w:r>
      <w:r w:rsidR="00C06811">
        <w:t>.6</w:t>
      </w:r>
      <w:r w:rsidRPr="00C06811">
        <w:t>71</w:t>
      </w:r>
      <w:r w:rsidR="00C06811" w:rsidRPr="00C06811">
        <w:t>.</w:t>
      </w:r>
    </w:p>
    <w:p w:rsidR="00C06811" w:rsidRDefault="00E35C50" w:rsidP="00C06811">
      <w:pPr>
        <w:pStyle w:val="a0"/>
        <w:tabs>
          <w:tab w:val="left" w:pos="402"/>
        </w:tabs>
        <w:ind w:firstLine="0"/>
      </w:pPr>
      <w:r w:rsidRPr="00C06811">
        <w:t>Погорлецкий А</w:t>
      </w:r>
      <w:r w:rsidR="00C06811">
        <w:t xml:space="preserve">.И. </w:t>
      </w:r>
      <w:r w:rsidRPr="00C06811">
        <w:t>Экономика зарубежных стран</w:t>
      </w:r>
      <w:r w:rsidR="00C06811" w:rsidRPr="00C06811">
        <w:t xml:space="preserve">: </w:t>
      </w:r>
      <w:r w:rsidRPr="00C06811">
        <w:t>Учебник</w:t>
      </w:r>
      <w:r w:rsidR="00C06811">
        <w:t>.2</w:t>
      </w:r>
      <w:r w:rsidRPr="00C06811">
        <w:t>-ое изд</w:t>
      </w:r>
      <w:r w:rsidR="00C06811" w:rsidRPr="00C06811">
        <w:t>.</w:t>
      </w:r>
      <w:r w:rsidR="00C06811">
        <w:t xml:space="preserve"> // </w:t>
      </w:r>
      <w:r w:rsidRPr="00C06811">
        <w:t>СПб</w:t>
      </w:r>
      <w:r w:rsidR="00C06811">
        <w:t>.:</w:t>
      </w:r>
      <w:r w:rsidR="00C06811" w:rsidRPr="00C06811">
        <w:t xml:space="preserve"> </w:t>
      </w:r>
      <w:r w:rsidRPr="00C06811">
        <w:t>Издательство Михайлова В</w:t>
      </w:r>
      <w:r w:rsidR="00C06811">
        <w:t xml:space="preserve">.А., </w:t>
      </w:r>
      <w:r w:rsidR="00C06811" w:rsidRPr="00C06811">
        <w:t>20</w:t>
      </w:r>
      <w:r w:rsidRPr="00C06811">
        <w:t>01</w:t>
      </w:r>
      <w:r w:rsidR="00C06811" w:rsidRPr="00C06811">
        <w:t xml:space="preserve">. </w:t>
      </w:r>
      <w:r w:rsidR="00C06811">
        <w:t>-</w:t>
      </w:r>
      <w:r w:rsidRPr="00C06811">
        <w:t xml:space="preserve"> с</w:t>
      </w:r>
      <w:r w:rsidR="00C06811">
        <w:t>.4</w:t>
      </w:r>
      <w:r w:rsidRPr="00C06811">
        <w:t>92</w:t>
      </w:r>
      <w:r w:rsidR="00C06811" w:rsidRPr="00C06811">
        <w:t>.</w:t>
      </w:r>
    </w:p>
    <w:p w:rsidR="00C06811" w:rsidRDefault="00FB79AC" w:rsidP="00C06811">
      <w:pPr>
        <w:pStyle w:val="a0"/>
        <w:tabs>
          <w:tab w:val="left" w:pos="402"/>
        </w:tabs>
        <w:ind w:firstLine="0"/>
      </w:pPr>
      <w:r w:rsidRPr="00C06811">
        <w:t>Сергеев П</w:t>
      </w:r>
      <w:r w:rsidR="00C06811">
        <w:t xml:space="preserve">.В. </w:t>
      </w:r>
      <w:r w:rsidRPr="00C06811">
        <w:t>Мировая экономика</w:t>
      </w:r>
      <w:r w:rsidR="00C06811" w:rsidRPr="00C06811">
        <w:t xml:space="preserve">: </w:t>
      </w:r>
      <w:r w:rsidRPr="00C06811">
        <w:t>Учебное пособие по курсам</w:t>
      </w:r>
      <w:r w:rsidR="00C06811">
        <w:t xml:space="preserve"> "</w:t>
      </w:r>
      <w:r w:rsidRPr="00C06811">
        <w:t>Мировая экономика</w:t>
      </w:r>
      <w:r w:rsidR="00C06811">
        <w:t>" "</w:t>
      </w:r>
      <w:r w:rsidRPr="00C06811">
        <w:t>Мировое хозяйство и международные экономические отношения на современном этапе</w:t>
      </w:r>
      <w:r w:rsidR="00C06811">
        <w:t xml:space="preserve">". </w:t>
      </w:r>
      <w:r w:rsidR="00C06811" w:rsidRPr="00C06811">
        <w:t>-</w:t>
      </w:r>
      <w:r w:rsidR="00C06811">
        <w:t xml:space="preserve"> </w:t>
      </w:r>
      <w:r w:rsidRPr="00C06811">
        <w:t>М</w:t>
      </w:r>
      <w:r w:rsidR="00C06811">
        <w:t>.:</w:t>
      </w:r>
      <w:r w:rsidR="00C06811" w:rsidRPr="00C06811">
        <w:t xml:space="preserve"> </w:t>
      </w:r>
      <w:r w:rsidRPr="00C06811">
        <w:t>Юриспруденция, 1999</w:t>
      </w:r>
      <w:r w:rsidR="00C06811" w:rsidRPr="00C06811">
        <w:t>. -</w:t>
      </w:r>
      <w:r w:rsidR="00C06811">
        <w:t xml:space="preserve"> </w:t>
      </w:r>
      <w:r w:rsidRPr="00C06811">
        <w:t>160 с</w:t>
      </w:r>
      <w:r w:rsidR="00C06811" w:rsidRPr="00C06811">
        <w:t>.</w:t>
      </w:r>
    </w:p>
    <w:p w:rsidR="00C06811" w:rsidRDefault="005D7825" w:rsidP="00C06811">
      <w:pPr>
        <w:pStyle w:val="a0"/>
        <w:tabs>
          <w:tab w:val="left" w:pos="402"/>
        </w:tabs>
        <w:ind w:firstLine="0"/>
      </w:pPr>
      <w:r w:rsidRPr="00C06811">
        <w:t>Смирнов Е</w:t>
      </w:r>
      <w:r w:rsidR="00C06811">
        <w:t xml:space="preserve">.Н. </w:t>
      </w:r>
      <w:r w:rsidRPr="00C06811">
        <w:t>Введение в курс мировой экономики</w:t>
      </w:r>
      <w:r w:rsidR="00C06811" w:rsidRPr="00C06811">
        <w:t xml:space="preserve">: </w:t>
      </w:r>
      <w:r w:rsidRPr="00C06811">
        <w:t>Учебное пособие для вузов</w:t>
      </w:r>
      <w:r w:rsidR="00C06811">
        <w:t>.2</w:t>
      </w:r>
      <w:r w:rsidRPr="00C06811">
        <w:t>-е изд</w:t>
      </w:r>
      <w:r w:rsidR="00C06811">
        <w:t>.,</w:t>
      </w:r>
      <w:r w:rsidR="00C94A33" w:rsidRPr="00C06811">
        <w:t xml:space="preserve"> </w:t>
      </w:r>
      <w:r w:rsidRPr="00C06811">
        <w:t>перераб</w:t>
      </w:r>
      <w:r w:rsidR="00C06811" w:rsidRPr="00C06811">
        <w:t xml:space="preserve">. </w:t>
      </w:r>
      <w:r w:rsidRPr="00C06811">
        <w:t>и доп</w:t>
      </w:r>
      <w:r w:rsidR="00C06811" w:rsidRPr="00C06811">
        <w:t>.</w:t>
      </w:r>
      <w:r w:rsidR="00C06811">
        <w:t xml:space="preserve"> // </w:t>
      </w:r>
      <w:r w:rsidRPr="00C06811">
        <w:t>Издательство</w:t>
      </w:r>
      <w:r w:rsidR="00C06811" w:rsidRPr="00C06811">
        <w:t xml:space="preserve">: </w:t>
      </w:r>
      <w:r w:rsidRPr="00C06811">
        <w:t>КноРус, 2009</w:t>
      </w:r>
      <w:r w:rsidR="00C06811" w:rsidRPr="00C06811">
        <w:t xml:space="preserve">. </w:t>
      </w:r>
      <w:r w:rsidR="00C06811">
        <w:t>-</w:t>
      </w:r>
      <w:r w:rsidRPr="00C06811">
        <w:t xml:space="preserve"> с</w:t>
      </w:r>
      <w:r w:rsidR="00C06811">
        <w:t>.4</w:t>
      </w:r>
      <w:r w:rsidRPr="00C06811">
        <w:t>16</w:t>
      </w:r>
      <w:r w:rsidR="00C06811" w:rsidRPr="00C06811">
        <w:t>.</w:t>
      </w:r>
    </w:p>
    <w:p w:rsidR="00C06811" w:rsidRDefault="005D7825" w:rsidP="00C06811">
      <w:pPr>
        <w:pStyle w:val="a0"/>
        <w:tabs>
          <w:tab w:val="left" w:pos="402"/>
        </w:tabs>
        <w:ind w:firstLine="0"/>
      </w:pPr>
      <w:r w:rsidRPr="00C06811">
        <w:t>Черников Г</w:t>
      </w:r>
      <w:r w:rsidR="00C06811">
        <w:t xml:space="preserve">.П. </w:t>
      </w:r>
      <w:r w:rsidRPr="00C06811">
        <w:t>Мировая экономика</w:t>
      </w:r>
      <w:r w:rsidR="00C06811" w:rsidRPr="00C06811">
        <w:t xml:space="preserve">: </w:t>
      </w:r>
      <w:r w:rsidRPr="00C06811">
        <w:t>Учеб</w:t>
      </w:r>
      <w:r w:rsidR="00C06811" w:rsidRPr="00C06811">
        <w:t xml:space="preserve">. </w:t>
      </w:r>
      <w:r w:rsidRPr="00C06811">
        <w:t>для вузов / Г</w:t>
      </w:r>
      <w:r w:rsidR="00C06811">
        <w:t xml:space="preserve">.П. </w:t>
      </w:r>
      <w:r w:rsidRPr="00C06811">
        <w:t>Чеников, Д</w:t>
      </w:r>
      <w:r w:rsidR="00C06811">
        <w:t xml:space="preserve">.А. </w:t>
      </w:r>
      <w:r w:rsidRPr="00C06811">
        <w:t>Черникова</w:t>
      </w:r>
      <w:r w:rsidR="00C06811" w:rsidRPr="00C06811">
        <w:t xml:space="preserve">. </w:t>
      </w:r>
      <w:r w:rsidR="00C06811">
        <w:t>-</w:t>
      </w:r>
      <w:r w:rsidRPr="00C06811">
        <w:t xml:space="preserve"> М</w:t>
      </w:r>
      <w:r w:rsidR="00C06811">
        <w:t>.:</w:t>
      </w:r>
      <w:r w:rsidR="00C06811" w:rsidRPr="00C06811">
        <w:t xml:space="preserve"> </w:t>
      </w:r>
      <w:r w:rsidRPr="00C06811">
        <w:t>Дрофа, 2003</w:t>
      </w:r>
      <w:r w:rsidR="00C06811" w:rsidRPr="00C06811">
        <w:t xml:space="preserve">. </w:t>
      </w:r>
      <w:r w:rsidR="00C06811">
        <w:t>-</w:t>
      </w:r>
      <w:r w:rsidRPr="00C06811">
        <w:t xml:space="preserve"> с</w:t>
      </w:r>
      <w:r w:rsidR="00C06811">
        <w:t>.4</w:t>
      </w:r>
      <w:r w:rsidRPr="00C06811">
        <w:t>32</w:t>
      </w:r>
      <w:r w:rsidR="00C06811" w:rsidRPr="00C06811">
        <w:t>.</w:t>
      </w:r>
    </w:p>
    <w:p w:rsidR="00C06811" w:rsidRDefault="000C3871" w:rsidP="00C06811">
      <w:pPr>
        <w:pStyle w:val="a0"/>
        <w:tabs>
          <w:tab w:val="left" w:pos="402"/>
        </w:tabs>
        <w:ind w:firstLine="0"/>
      </w:pPr>
      <w:r w:rsidRPr="00C06811">
        <w:t>А</w:t>
      </w:r>
      <w:r w:rsidR="00C06811" w:rsidRPr="00C06811">
        <w:t xml:space="preserve">. </w:t>
      </w:r>
      <w:r w:rsidRPr="00C06811">
        <w:t>Бессуднов</w:t>
      </w:r>
      <w:r w:rsidR="00C06811">
        <w:t xml:space="preserve"> "</w:t>
      </w:r>
      <w:r w:rsidRPr="00C06811">
        <w:t>Лешек Бальцерович</w:t>
      </w:r>
      <w:r w:rsidR="00C06811" w:rsidRPr="00C06811">
        <w:t>:</w:t>
      </w:r>
      <w:r w:rsidR="00C06811">
        <w:t xml:space="preserve"> "</w:t>
      </w:r>
      <w:r w:rsidRPr="00C06811">
        <w:t>Шоковая терапия</w:t>
      </w:r>
      <w:r w:rsidR="00C06811">
        <w:t xml:space="preserve">" </w:t>
      </w:r>
      <w:r w:rsidRPr="00C06811">
        <w:t>банковской</w:t>
      </w:r>
      <w:r w:rsidR="00E35C50" w:rsidRPr="00C06811">
        <w:t xml:space="preserve"> </w:t>
      </w:r>
      <w:r w:rsidRPr="00C06811">
        <w:t>системы невозможна</w:t>
      </w:r>
      <w:r w:rsidR="00C06811">
        <w:t xml:space="preserve">" </w:t>
      </w:r>
      <w:r w:rsidR="00FB79AC" w:rsidRPr="00C06811">
        <w:t xml:space="preserve">/ </w:t>
      </w:r>
      <w:r w:rsidRPr="00C06811">
        <w:t>журнал Эксперт,</w:t>
      </w:r>
      <w:r w:rsidR="00FB79AC" w:rsidRPr="00C06811">
        <w:t xml:space="preserve"> Северо-Запад</w:t>
      </w:r>
      <w:r w:rsidR="00C06811" w:rsidRPr="00C06811">
        <w:t xml:space="preserve"> - </w:t>
      </w:r>
      <w:r w:rsidR="00FB79AC" w:rsidRPr="00C06811">
        <w:t xml:space="preserve">№ </w:t>
      </w:r>
      <w:r w:rsidRPr="00C06811">
        <w:t>39</w:t>
      </w:r>
      <w:r w:rsidR="00C06811">
        <w:t xml:space="preserve"> (</w:t>
      </w:r>
      <w:r w:rsidRPr="00C06811">
        <w:t>100</w:t>
      </w:r>
      <w:r w:rsidR="00C06811" w:rsidRPr="00C06811">
        <w:t xml:space="preserve">) </w:t>
      </w:r>
      <w:r w:rsidR="00C06811">
        <w:t>-</w:t>
      </w:r>
      <w:r w:rsidR="00FB79AC" w:rsidRPr="00C06811">
        <w:t xml:space="preserve"> 2</w:t>
      </w:r>
      <w:r w:rsidR="00C06811">
        <w:t xml:space="preserve">1.10 </w:t>
      </w:r>
      <w:r w:rsidRPr="00C06811">
        <w:t>2002</w:t>
      </w:r>
      <w:r w:rsidR="00C06811" w:rsidRPr="00C06811">
        <w:t xml:space="preserve">. </w:t>
      </w:r>
      <w:r w:rsidR="00C06811">
        <w:t>-</w:t>
      </w:r>
      <w:r w:rsidR="005D7825" w:rsidRPr="00C06811">
        <w:t xml:space="preserve"> с</w:t>
      </w:r>
      <w:r w:rsidR="00C06811">
        <w:t>.4</w:t>
      </w:r>
      <w:r w:rsidR="005D7825" w:rsidRPr="00C06811">
        <w:t>5-47</w:t>
      </w:r>
      <w:r w:rsidR="00C06811" w:rsidRPr="00C06811">
        <w:t>.</w:t>
      </w:r>
    </w:p>
    <w:p w:rsidR="00C06811" w:rsidRDefault="00D53C7E" w:rsidP="00C06811">
      <w:pPr>
        <w:pStyle w:val="a0"/>
        <w:tabs>
          <w:tab w:val="left" w:pos="402"/>
        </w:tabs>
        <w:ind w:firstLine="0"/>
        <w:rPr>
          <w:lang w:val="en-US"/>
        </w:rPr>
      </w:pPr>
      <w:r w:rsidRPr="00C06811">
        <w:rPr>
          <w:lang w:val="en-US"/>
        </w:rPr>
        <w:t>Dabrowski M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Polityka gospodarcza okresu transformacji / PWN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Warsaw, 1995</w:t>
      </w:r>
      <w:r w:rsidR="00C06811" w:rsidRPr="00C06811">
        <w:rPr>
          <w:lang w:val="en-US"/>
        </w:rPr>
        <w:t>.</w:t>
      </w:r>
    </w:p>
    <w:p w:rsidR="00C06811" w:rsidRDefault="00D53C7E" w:rsidP="00C06811">
      <w:pPr>
        <w:pStyle w:val="a0"/>
        <w:tabs>
          <w:tab w:val="left" w:pos="402"/>
        </w:tabs>
        <w:ind w:firstLine="0"/>
        <w:rPr>
          <w:lang w:val="en-US"/>
        </w:rPr>
      </w:pPr>
      <w:r w:rsidRPr="00C06811">
        <w:rPr>
          <w:lang w:val="en-US"/>
        </w:rPr>
        <w:t>Memorandum on Economic Reform Program / IMF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S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l</w:t>
      </w:r>
      <w:r w:rsidR="00C06811">
        <w:rPr>
          <w:lang w:val="en-US"/>
        </w:rPr>
        <w:t>.,</w:t>
      </w:r>
      <w:r w:rsidRPr="00C06811">
        <w:rPr>
          <w:lang w:val="en-US"/>
        </w:rPr>
        <w:t xml:space="preserve"> Sept</w:t>
      </w:r>
      <w:r w:rsidR="00C06811">
        <w:rPr>
          <w:lang w:val="en-US"/>
        </w:rPr>
        <w:t>.2</w:t>
      </w:r>
      <w:r w:rsidRPr="00C06811">
        <w:rPr>
          <w:lang w:val="en-US"/>
        </w:rPr>
        <w:t>3, 1989</w:t>
      </w:r>
      <w:r w:rsidR="00C06811" w:rsidRPr="00C06811">
        <w:rPr>
          <w:lang w:val="en-US"/>
        </w:rPr>
        <w:t>.</w:t>
      </w:r>
    </w:p>
    <w:p w:rsidR="00C06811" w:rsidRDefault="00D53C7E" w:rsidP="00C06811">
      <w:pPr>
        <w:pStyle w:val="a0"/>
        <w:tabs>
          <w:tab w:val="left" w:pos="402"/>
        </w:tabs>
        <w:ind w:firstLine="0"/>
        <w:rPr>
          <w:lang w:val="en-US"/>
        </w:rPr>
      </w:pPr>
      <w:r w:rsidRPr="00C06811">
        <w:rPr>
          <w:lang w:val="en-US"/>
        </w:rPr>
        <w:t>Poland</w:t>
      </w:r>
      <w:r w:rsidR="00C06811" w:rsidRPr="00C06811">
        <w:rPr>
          <w:lang w:val="en-US"/>
        </w:rPr>
        <w:t xml:space="preserve"> - </w:t>
      </w:r>
      <w:r w:rsidRPr="00C06811">
        <w:rPr>
          <w:lang w:val="en-US"/>
        </w:rPr>
        <w:t>Request for Stand-By Arrangement / IMF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S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l</w:t>
      </w:r>
      <w:r w:rsidR="00C06811">
        <w:rPr>
          <w:lang w:val="en-US"/>
        </w:rPr>
        <w:t>.,</w:t>
      </w:r>
      <w:r w:rsidRPr="00C06811">
        <w:rPr>
          <w:lang w:val="en-US"/>
        </w:rPr>
        <w:t xml:space="preserve"> Dec</w:t>
      </w:r>
      <w:r w:rsidR="00C06811">
        <w:rPr>
          <w:lang w:val="en-US"/>
        </w:rPr>
        <w:t>.2</w:t>
      </w:r>
      <w:r w:rsidRPr="00C06811">
        <w:rPr>
          <w:lang w:val="en-US"/>
        </w:rPr>
        <w:t>2, 1989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(</w:t>
      </w:r>
      <w:r w:rsidRPr="00C06811">
        <w:rPr>
          <w:lang w:val="en-US"/>
        </w:rPr>
        <w:t>Letter of Intent</w:t>
      </w:r>
      <w:r w:rsidR="00C06811" w:rsidRPr="00C06811">
        <w:rPr>
          <w:lang w:val="en-US"/>
        </w:rPr>
        <w:t>).</w:t>
      </w:r>
    </w:p>
    <w:p w:rsidR="00C06811" w:rsidRDefault="00D53C7E" w:rsidP="00C06811">
      <w:pPr>
        <w:pStyle w:val="a0"/>
        <w:tabs>
          <w:tab w:val="left" w:pos="402"/>
        </w:tabs>
        <w:ind w:firstLine="0"/>
        <w:rPr>
          <w:lang w:val="en-US"/>
        </w:rPr>
      </w:pPr>
      <w:r w:rsidRPr="00C06811">
        <w:rPr>
          <w:lang w:val="en-US"/>
        </w:rPr>
        <w:t>Poland</w:t>
      </w:r>
      <w:r w:rsidR="00C06811" w:rsidRPr="00C06811">
        <w:rPr>
          <w:lang w:val="en-US"/>
        </w:rPr>
        <w:t xml:space="preserve"> - </w:t>
      </w:r>
      <w:r w:rsidRPr="00C06811">
        <w:rPr>
          <w:lang w:val="en-US"/>
        </w:rPr>
        <w:t>Request for Extended Fund Facility / IMF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S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l</w:t>
      </w:r>
      <w:r w:rsidR="00C06811">
        <w:rPr>
          <w:lang w:val="en-US"/>
        </w:rPr>
        <w:t>.,</w:t>
      </w:r>
      <w:r w:rsidRPr="00C06811">
        <w:rPr>
          <w:lang w:val="en-US"/>
        </w:rPr>
        <w:t xml:space="preserve"> Apr</w:t>
      </w:r>
      <w:r w:rsidR="00C06811">
        <w:rPr>
          <w:lang w:val="en-US"/>
        </w:rPr>
        <w:t>.2</w:t>
      </w:r>
      <w:r w:rsidRPr="00C06811">
        <w:rPr>
          <w:lang w:val="en-US"/>
        </w:rPr>
        <w:t>3, 1991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(</w:t>
      </w:r>
      <w:r w:rsidRPr="00C06811">
        <w:rPr>
          <w:lang w:val="en-US"/>
        </w:rPr>
        <w:t>Letter of Intent</w:t>
      </w:r>
      <w:r w:rsidR="00C06811" w:rsidRPr="00C06811">
        <w:rPr>
          <w:lang w:val="en-US"/>
        </w:rPr>
        <w:t>).</w:t>
      </w:r>
    </w:p>
    <w:p w:rsidR="00C06811" w:rsidRDefault="00D53C7E" w:rsidP="00C06811">
      <w:pPr>
        <w:pStyle w:val="a0"/>
        <w:tabs>
          <w:tab w:val="left" w:pos="402"/>
        </w:tabs>
        <w:ind w:firstLine="0"/>
        <w:rPr>
          <w:lang w:val="en-US"/>
        </w:rPr>
      </w:pPr>
      <w:r w:rsidRPr="00C06811">
        <w:rPr>
          <w:lang w:val="en-US"/>
        </w:rPr>
        <w:t>Poland</w:t>
      </w:r>
      <w:r w:rsidR="00C06811" w:rsidRPr="00C06811">
        <w:rPr>
          <w:lang w:val="en-US"/>
        </w:rPr>
        <w:t xml:space="preserve"> - </w:t>
      </w:r>
      <w:r w:rsidRPr="00C06811">
        <w:rPr>
          <w:lang w:val="en-US"/>
        </w:rPr>
        <w:t>Request for Stand-By Arrangement / IMF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S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l</w:t>
      </w:r>
      <w:r w:rsidR="00C06811">
        <w:rPr>
          <w:lang w:val="en-US"/>
        </w:rPr>
        <w:t>.,</w:t>
      </w:r>
      <w:r w:rsidRPr="00C06811">
        <w:rPr>
          <w:lang w:val="en-US"/>
        </w:rPr>
        <w:t xml:space="preserve"> July 15, 1994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(</w:t>
      </w:r>
      <w:r w:rsidRPr="00C06811">
        <w:rPr>
          <w:lang w:val="en-US"/>
        </w:rPr>
        <w:t>Letter of Intent</w:t>
      </w:r>
      <w:r w:rsidR="00C06811" w:rsidRPr="00C06811">
        <w:rPr>
          <w:lang w:val="en-US"/>
        </w:rPr>
        <w:t>).</w:t>
      </w:r>
    </w:p>
    <w:p w:rsidR="00C06811" w:rsidRDefault="00D53C7E" w:rsidP="00C06811">
      <w:pPr>
        <w:pStyle w:val="a0"/>
        <w:tabs>
          <w:tab w:val="left" w:pos="402"/>
        </w:tabs>
        <w:ind w:firstLine="0"/>
        <w:rPr>
          <w:lang w:val="en-US"/>
        </w:rPr>
      </w:pPr>
      <w:r w:rsidRPr="00C06811">
        <w:rPr>
          <w:lang w:val="en-US"/>
        </w:rPr>
        <w:t>Republic of Poland</w:t>
      </w:r>
      <w:r w:rsidR="00C06811" w:rsidRPr="00C06811">
        <w:rPr>
          <w:lang w:val="en-US"/>
        </w:rPr>
        <w:t xml:space="preserve"> - </w:t>
      </w:r>
      <w:r w:rsidRPr="00C06811">
        <w:rPr>
          <w:lang w:val="en-US"/>
        </w:rPr>
        <w:t>Staff Report for the 198</w:t>
      </w:r>
      <w:r w:rsidR="00C06811">
        <w:rPr>
          <w:lang w:val="en-US"/>
        </w:rPr>
        <w:t>9/</w:t>
      </w:r>
      <w:r w:rsidRPr="00C06811">
        <w:rPr>
          <w:lang w:val="en-US"/>
        </w:rPr>
        <w:t>IMF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S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l</w:t>
      </w:r>
      <w:r w:rsidR="00C06811">
        <w:rPr>
          <w:lang w:val="en-US"/>
        </w:rPr>
        <w:t>.,</w:t>
      </w:r>
      <w:r w:rsidRPr="00C06811">
        <w:rPr>
          <w:lang w:val="en-US"/>
        </w:rPr>
        <w:t xml:space="preserve"> Jan</w:t>
      </w:r>
      <w:r w:rsidR="00C06811">
        <w:rPr>
          <w:lang w:val="en-US"/>
        </w:rPr>
        <w:t>.1</w:t>
      </w:r>
      <w:r w:rsidRPr="00C06811">
        <w:rPr>
          <w:lang w:val="en-US"/>
        </w:rPr>
        <w:t>8, 1990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Art</w:t>
      </w:r>
      <w:r w:rsidR="00C06811">
        <w:rPr>
          <w:lang w:val="en-US"/>
        </w:rPr>
        <w:t>.4</w:t>
      </w:r>
      <w:r w:rsidRPr="00C06811">
        <w:rPr>
          <w:lang w:val="en-US"/>
        </w:rPr>
        <w:t xml:space="preserve"> Consultation</w:t>
      </w:r>
      <w:r w:rsidR="00C06811" w:rsidRPr="00C06811">
        <w:rPr>
          <w:lang w:val="en-US"/>
        </w:rPr>
        <w:t>.</w:t>
      </w:r>
    </w:p>
    <w:p w:rsidR="00C06811" w:rsidRDefault="00D53C7E" w:rsidP="00C06811">
      <w:pPr>
        <w:pStyle w:val="a0"/>
        <w:tabs>
          <w:tab w:val="left" w:pos="402"/>
        </w:tabs>
        <w:ind w:firstLine="0"/>
        <w:rPr>
          <w:lang w:val="en-US"/>
        </w:rPr>
      </w:pPr>
      <w:r w:rsidRPr="00C06811">
        <w:rPr>
          <w:lang w:val="en-US"/>
        </w:rPr>
        <w:t>Republic of Poland</w:t>
      </w:r>
      <w:r w:rsidR="00C06811" w:rsidRPr="00C06811">
        <w:rPr>
          <w:lang w:val="en-US"/>
        </w:rPr>
        <w:t xml:space="preserve"> - </w:t>
      </w:r>
      <w:r w:rsidRPr="00C06811">
        <w:rPr>
          <w:lang w:val="en-US"/>
        </w:rPr>
        <w:t>Staff Report for the 199</w:t>
      </w:r>
      <w:r w:rsidR="00C06811">
        <w:rPr>
          <w:lang w:val="en-US"/>
        </w:rPr>
        <w:t>1/</w:t>
      </w:r>
      <w:r w:rsidRPr="00C06811">
        <w:rPr>
          <w:lang w:val="en-US"/>
        </w:rPr>
        <w:t>IMF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S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l</w:t>
      </w:r>
      <w:r w:rsidR="00C06811">
        <w:rPr>
          <w:lang w:val="en-US"/>
        </w:rPr>
        <w:t>.,</w:t>
      </w:r>
      <w:r w:rsidRPr="00C06811">
        <w:rPr>
          <w:lang w:val="en-US"/>
        </w:rPr>
        <w:t xml:space="preserve"> Apr</w:t>
      </w:r>
      <w:r w:rsidR="00C06811">
        <w:rPr>
          <w:lang w:val="en-US"/>
        </w:rPr>
        <w:t>.4</w:t>
      </w:r>
      <w:r w:rsidRPr="00C06811">
        <w:rPr>
          <w:lang w:val="en-US"/>
        </w:rPr>
        <w:t>, 1991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Art</w:t>
      </w:r>
      <w:r w:rsidR="00C06811">
        <w:rPr>
          <w:lang w:val="en-US"/>
        </w:rPr>
        <w:t>.4</w:t>
      </w:r>
      <w:r w:rsidRPr="00C06811">
        <w:rPr>
          <w:lang w:val="en-US"/>
        </w:rPr>
        <w:t xml:space="preserve"> Consultation</w:t>
      </w:r>
      <w:r w:rsidR="00C06811">
        <w:rPr>
          <w:lang w:val="en-US"/>
        </w:rPr>
        <w:t>.5.8.</w:t>
      </w:r>
      <w:r w:rsidR="00C06811" w:rsidRPr="00C06811">
        <w:rPr>
          <w:lang w:val="en-US"/>
        </w:rPr>
        <w:t xml:space="preserve"> </w:t>
      </w:r>
      <w:r w:rsidRPr="00C06811">
        <w:rPr>
          <w:lang w:val="en-US"/>
        </w:rPr>
        <w:t>Republic of Poland</w:t>
      </w:r>
      <w:r w:rsidR="00C06811" w:rsidRPr="00C06811">
        <w:rPr>
          <w:lang w:val="en-US"/>
        </w:rPr>
        <w:t xml:space="preserve"> - </w:t>
      </w:r>
      <w:r w:rsidRPr="00C06811">
        <w:rPr>
          <w:lang w:val="en-US"/>
        </w:rPr>
        <w:t>Staff Report for the 199</w:t>
      </w:r>
      <w:r w:rsidR="00C06811">
        <w:rPr>
          <w:lang w:val="en-US"/>
        </w:rPr>
        <w:t>2/</w:t>
      </w:r>
      <w:r w:rsidRPr="00C06811">
        <w:rPr>
          <w:lang w:val="en-US"/>
        </w:rPr>
        <w:t>IMF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S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l</w:t>
      </w:r>
      <w:r w:rsidR="00C06811">
        <w:rPr>
          <w:lang w:val="en-US"/>
        </w:rPr>
        <w:t>.,</w:t>
      </w:r>
      <w:r w:rsidRPr="00C06811">
        <w:rPr>
          <w:lang w:val="en-US"/>
        </w:rPr>
        <w:t xml:space="preserve"> July 9, 1992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Art</w:t>
      </w:r>
      <w:r w:rsidR="00C06811">
        <w:rPr>
          <w:lang w:val="en-US"/>
        </w:rPr>
        <w:t>.4</w:t>
      </w:r>
      <w:r w:rsidRPr="00C06811">
        <w:rPr>
          <w:lang w:val="en-US"/>
        </w:rPr>
        <w:t xml:space="preserve"> Consultation</w:t>
      </w:r>
      <w:r w:rsidR="00C06811" w:rsidRPr="00C06811">
        <w:rPr>
          <w:lang w:val="en-US"/>
        </w:rPr>
        <w:t>.</w:t>
      </w:r>
    </w:p>
    <w:p w:rsidR="00C06811" w:rsidRDefault="00D53C7E" w:rsidP="00C06811">
      <w:pPr>
        <w:pStyle w:val="a0"/>
        <w:tabs>
          <w:tab w:val="left" w:pos="402"/>
        </w:tabs>
        <w:ind w:firstLine="0"/>
        <w:rPr>
          <w:lang w:val="en-US"/>
        </w:rPr>
      </w:pPr>
      <w:r w:rsidRPr="00C06811">
        <w:rPr>
          <w:lang w:val="en-US"/>
        </w:rPr>
        <w:t>Republic of Poland</w:t>
      </w:r>
      <w:r w:rsidR="00C06811" w:rsidRPr="00C06811">
        <w:rPr>
          <w:lang w:val="en-US"/>
        </w:rPr>
        <w:t xml:space="preserve"> - </w:t>
      </w:r>
      <w:r w:rsidRPr="00C06811">
        <w:rPr>
          <w:lang w:val="en-US"/>
        </w:rPr>
        <w:t>Staff Report for the 199</w:t>
      </w:r>
      <w:r w:rsidR="00C06811">
        <w:rPr>
          <w:lang w:val="en-US"/>
        </w:rPr>
        <w:t>4/</w:t>
      </w:r>
      <w:r w:rsidRPr="00C06811">
        <w:rPr>
          <w:lang w:val="en-US"/>
        </w:rPr>
        <w:t>IMF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S</w:t>
      </w:r>
      <w:r w:rsidR="00C06811" w:rsidRPr="00C06811">
        <w:rPr>
          <w:lang w:val="en-US"/>
        </w:rPr>
        <w:t xml:space="preserve">. </w:t>
      </w:r>
      <w:r w:rsidRPr="00C06811">
        <w:rPr>
          <w:lang w:val="en-US"/>
        </w:rPr>
        <w:t>l</w:t>
      </w:r>
      <w:r w:rsidR="00C06811">
        <w:rPr>
          <w:lang w:val="en-US"/>
        </w:rPr>
        <w:t>.,</w:t>
      </w:r>
      <w:r w:rsidRPr="00C06811">
        <w:rPr>
          <w:lang w:val="en-US"/>
        </w:rPr>
        <w:t xml:space="preserve"> March 11, 1994</w:t>
      </w:r>
      <w:r w:rsidR="00C06811" w:rsidRPr="00C06811">
        <w:rPr>
          <w:lang w:val="en-US"/>
        </w:rPr>
        <w:t>. -</w:t>
      </w:r>
      <w:r w:rsidR="00C06811">
        <w:rPr>
          <w:lang w:val="en-US"/>
        </w:rPr>
        <w:t xml:space="preserve"> </w:t>
      </w:r>
      <w:r w:rsidRPr="00C06811">
        <w:rPr>
          <w:lang w:val="en-US"/>
        </w:rPr>
        <w:t>Art</w:t>
      </w:r>
      <w:r w:rsidR="00C06811">
        <w:rPr>
          <w:lang w:val="en-US"/>
        </w:rPr>
        <w:t>.4</w:t>
      </w:r>
      <w:r w:rsidRPr="00C06811">
        <w:rPr>
          <w:lang w:val="en-US"/>
        </w:rPr>
        <w:t xml:space="preserve"> Consultation</w:t>
      </w:r>
      <w:r w:rsidR="00C06811" w:rsidRPr="00C06811">
        <w:rPr>
          <w:lang w:val="en-US"/>
        </w:rPr>
        <w:t>.</w:t>
      </w:r>
    </w:p>
    <w:p w:rsidR="00C06811" w:rsidRPr="00C06811" w:rsidRDefault="00C06811" w:rsidP="00C06811">
      <w:pPr>
        <w:pStyle w:val="2"/>
      </w:pPr>
      <w:r w:rsidRPr="003220B0">
        <w:br w:type="page"/>
      </w:r>
      <w:bookmarkStart w:id="11" w:name="_Toc256627456"/>
      <w:r w:rsidR="00475653" w:rsidRPr="00C06811">
        <w:t>Приложение 1</w:t>
      </w:r>
      <w:bookmarkEnd w:id="11"/>
    </w:p>
    <w:p w:rsidR="00C06811" w:rsidRDefault="00C06811" w:rsidP="00C06811">
      <w:pPr>
        <w:ind w:firstLine="709"/>
      </w:pPr>
    </w:p>
    <w:p w:rsidR="00475653" w:rsidRPr="00C06811" w:rsidRDefault="00475653" w:rsidP="00C06811">
      <w:pPr>
        <w:ind w:left="708" w:firstLine="1"/>
      </w:pPr>
      <w:r w:rsidRPr="00C06811">
        <w:t>Таблица 1</w:t>
      </w:r>
      <w:r w:rsidR="00C06811">
        <w:t xml:space="preserve">. </w:t>
      </w:r>
      <w:r w:rsidRPr="00C06811">
        <w:t>Структура и динамика валового национального продукта</w:t>
      </w:r>
      <w:r w:rsidR="00C06811">
        <w:t xml:space="preserve"> (</w:t>
      </w:r>
      <w:r w:rsidRPr="00C06811">
        <w:t>ВНП</w:t>
      </w:r>
      <w:r w:rsidR="00C06811" w:rsidRPr="00C06811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666"/>
        <w:gridCol w:w="666"/>
        <w:gridCol w:w="666"/>
        <w:gridCol w:w="666"/>
        <w:gridCol w:w="666"/>
        <w:gridCol w:w="666"/>
        <w:gridCol w:w="666"/>
      </w:tblGrid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1995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1996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1997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1998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1999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2000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2001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ВНП, в том числе</w:t>
            </w:r>
            <w:r w:rsidR="00C06811" w:rsidRPr="00C06811"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107,0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104,1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101,0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Добавочная стоимость брутто, в том числе</w:t>
            </w:r>
            <w:r w:rsidR="00C06811" w:rsidRPr="00C06811"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100,8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Сельское хозяйство, охотничий промысел, лесопромышленность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110,4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102,4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101,1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105,9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99,4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91,8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92,3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Промышленность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110,4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107,6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110,3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106,5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99,4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Горная промышленность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101,5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95,7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89,2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98,4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101,7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95,3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Перерабатывающая промышленность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113,7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108,8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114,4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107,5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104,2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107,0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99,2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 xml:space="preserve">Снабжение газом, водой и электроэнергией 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102,1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103,5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100,6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98,8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98,5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106,7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104,2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102,8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113,6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109,3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103,5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100,0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92,4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Услуги в том числе</w:t>
            </w:r>
            <w:r w:rsidR="00C06811" w:rsidRPr="00C06811"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104,1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103,2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Рыночные услуги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105,2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104,2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103,9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Торговля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106,1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108,1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105,0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107,1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103,9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104,7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Транспорт, и связь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102,3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105,6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106,3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110,5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103,2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99,2</w:t>
            </w:r>
          </w:p>
        </w:tc>
      </w:tr>
      <w:tr w:rsidR="00475653" w:rsidRPr="00C06811" w:rsidTr="003F3553">
        <w:trPr>
          <w:jc w:val="center"/>
        </w:trPr>
        <w:tc>
          <w:tcPr>
            <w:tcW w:w="4600" w:type="dxa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Обслуживание фирм и недвижимости</w:t>
            </w:r>
            <w:r w:rsidR="00C06811" w:rsidRPr="00C06811">
              <w:t xml:space="preserve">; </w:t>
            </w:r>
            <w:r w:rsidRPr="00C06811">
              <w:t>наука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105,8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100,9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99,3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103,4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97,4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104,6</w:t>
            </w:r>
          </w:p>
        </w:tc>
        <w:tc>
          <w:tcPr>
            <w:tcW w:w="0" w:type="auto"/>
            <w:shd w:val="clear" w:color="auto" w:fill="auto"/>
          </w:tcPr>
          <w:p w:rsidR="00475653" w:rsidRPr="00C06811" w:rsidRDefault="00475653" w:rsidP="00C06811">
            <w:pPr>
              <w:pStyle w:val="afd"/>
            </w:pPr>
            <w:r w:rsidRPr="00C06811">
              <w:t>100,7</w:t>
            </w:r>
          </w:p>
        </w:tc>
      </w:tr>
    </w:tbl>
    <w:p w:rsidR="00C06811" w:rsidRDefault="00C06811" w:rsidP="00C06811">
      <w:pPr>
        <w:ind w:firstLine="709"/>
      </w:pPr>
    </w:p>
    <w:p w:rsidR="00C06811" w:rsidRPr="00C06811" w:rsidRDefault="00C06811" w:rsidP="00C06811">
      <w:pPr>
        <w:pStyle w:val="2"/>
      </w:pPr>
      <w:r>
        <w:br w:type="page"/>
      </w:r>
      <w:bookmarkStart w:id="12" w:name="_Toc256627457"/>
      <w:r w:rsidR="00C205CF" w:rsidRPr="00C06811">
        <w:t>Приложение 2</w:t>
      </w:r>
      <w:bookmarkEnd w:id="12"/>
    </w:p>
    <w:p w:rsidR="00C06811" w:rsidRDefault="00C06811" w:rsidP="00C06811">
      <w:pPr>
        <w:ind w:firstLine="709"/>
      </w:pPr>
    </w:p>
    <w:p w:rsidR="00C06811" w:rsidRDefault="00C205CF" w:rsidP="00C06811">
      <w:pPr>
        <w:ind w:left="708" w:firstLine="1"/>
      </w:pPr>
      <w:r w:rsidRPr="00C06811">
        <w:t>Таблица 2</w:t>
      </w:r>
      <w:r w:rsidR="00C06811">
        <w:t xml:space="preserve">. </w:t>
      </w:r>
      <w:r w:rsidRPr="00C06811">
        <w:t>Уровень безработицы в 1990-2004 годах</w:t>
      </w:r>
      <w:r w:rsidR="00C06811">
        <w:t xml:space="preserve"> (</w:t>
      </w:r>
      <w:r w:rsidRPr="00C06811">
        <w:t>зарегистрированная безработица</w:t>
      </w:r>
      <w:r w:rsidR="00C06811" w:rsidRPr="00C06811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</w:tcPr>
          <w:p w:rsidR="00C205CF" w:rsidRPr="00C06811" w:rsidRDefault="00C205CF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II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III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IV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VI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VII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VIII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IX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XI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3F3553" w:rsidRDefault="00C205CF" w:rsidP="00C06811">
            <w:pPr>
              <w:pStyle w:val="afd"/>
              <w:rPr>
                <w:lang w:val="en-US"/>
              </w:rPr>
            </w:pPr>
            <w:r w:rsidRPr="003F3553">
              <w:rPr>
                <w:lang w:val="en-US"/>
              </w:rPr>
              <w:t>XII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0,3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3,1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6,5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6,6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7,1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7,3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7,7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8,4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12,2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14,3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16,4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16,0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14,9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13,2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10,3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9,9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10,4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11,9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13,1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13,9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15,1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2001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</w:t>
            </w:r>
            <w:r w:rsidR="00C06811">
              <w:t>.9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17,4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18,1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2003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17,6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18,0</w:t>
            </w:r>
          </w:p>
        </w:tc>
      </w:tr>
      <w:tr w:rsidR="00C205CF" w:rsidRPr="003F3553" w:rsidTr="003F355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2004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20,6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20,6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20,5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05CF" w:rsidRPr="00C06811" w:rsidRDefault="00C205CF" w:rsidP="00C06811">
            <w:pPr>
              <w:pStyle w:val="afd"/>
            </w:pPr>
            <w:r w:rsidRPr="00C06811">
              <w:t>18,7</w:t>
            </w:r>
          </w:p>
        </w:tc>
      </w:tr>
    </w:tbl>
    <w:p w:rsidR="00C06811" w:rsidRDefault="00C06811" w:rsidP="00C06811">
      <w:pPr>
        <w:ind w:firstLine="709"/>
      </w:pPr>
    </w:p>
    <w:p w:rsidR="00C06811" w:rsidRPr="00C06811" w:rsidRDefault="00C06811" w:rsidP="00C06811">
      <w:pPr>
        <w:pStyle w:val="2"/>
      </w:pPr>
      <w:r>
        <w:br w:type="page"/>
      </w:r>
      <w:bookmarkStart w:id="13" w:name="_Toc256627458"/>
      <w:r w:rsidR="00257B67" w:rsidRPr="00C06811">
        <w:t>Приложение 3</w:t>
      </w:r>
      <w:bookmarkEnd w:id="13"/>
    </w:p>
    <w:p w:rsidR="00C06811" w:rsidRDefault="00C06811" w:rsidP="00C06811">
      <w:pPr>
        <w:ind w:firstLine="709"/>
      </w:pPr>
    </w:p>
    <w:p w:rsidR="00257B67" w:rsidRPr="00C06811" w:rsidRDefault="00257B67" w:rsidP="00C06811">
      <w:pPr>
        <w:ind w:firstLine="709"/>
      </w:pPr>
      <w:r w:rsidRPr="00C06811">
        <w:t>Таблица 3</w:t>
      </w:r>
      <w:r w:rsidR="00C06811">
        <w:t xml:space="preserve">. </w:t>
      </w:r>
      <w:r w:rsidRPr="00C06811">
        <w:t xml:space="preserve">Внешний товарооборот по данным NBP в 1991 </w:t>
      </w:r>
      <w:r w:rsidR="00C06811">
        <w:t>-</w:t>
      </w:r>
      <w:r w:rsidRPr="00C06811">
        <w:t xml:space="preserve"> 2002 годах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1440"/>
        <w:gridCol w:w="1440"/>
        <w:gridCol w:w="1224"/>
        <w:gridCol w:w="1273"/>
      </w:tblGrid>
      <w:tr w:rsidR="00257B67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Год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в млн USD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Динамика</w:t>
            </w:r>
          </w:p>
          <w:p w:rsidR="00257B67" w:rsidRPr="00C06811" w:rsidRDefault="00257B67" w:rsidP="00C06811">
            <w:pPr>
              <w:pStyle w:val="afd"/>
            </w:pPr>
            <w:r w:rsidRPr="00C06811">
              <w:t>предыдущий год =100</w:t>
            </w:r>
          </w:p>
          <w:p w:rsidR="00257B67" w:rsidRPr="00C06811" w:rsidRDefault="00257B67" w:rsidP="00C06811">
            <w:pPr>
              <w:pStyle w:val="afd"/>
            </w:pP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Экспорт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Импорт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Сальдо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Экспорт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Импорт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1991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12 760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12 709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51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117,5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146,9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1992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13 997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13 485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512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109,7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106,1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1993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13 598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16 080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-2 482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97,1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119,2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1994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17 024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17 919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-895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125,2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111,4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1995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22 878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24 790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-1 912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135,0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138,3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1996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24 453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32 632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-8 179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106,8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131,6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1997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27 229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38 549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-11 320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111,3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118,1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1998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30 122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43 842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-13 720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110,6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113,7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1999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26 347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40 727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-14 380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87,5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92,9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2000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28 256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41 424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-13 168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107,2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101,7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2001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30 275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41 950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-11 675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107,1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101,3</w:t>
            </w:r>
          </w:p>
        </w:tc>
      </w:tr>
      <w:tr w:rsidR="00C06811" w:rsidRPr="00C06811" w:rsidTr="003F3553">
        <w:trPr>
          <w:jc w:val="center"/>
        </w:trPr>
        <w:tc>
          <w:tcPr>
            <w:tcW w:w="1368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2002</w:t>
            </w:r>
          </w:p>
        </w:tc>
        <w:tc>
          <w:tcPr>
            <w:tcW w:w="162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32 945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43 297</w:t>
            </w:r>
          </w:p>
        </w:tc>
        <w:tc>
          <w:tcPr>
            <w:tcW w:w="1440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-10 352</w:t>
            </w:r>
          </w:p>
        </w:tc>
        <w:tc>
          <w:tcPr>
            <w:tcW w:w="1224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108,9</w:t>
            </w:r>
          </w:p>
        </w:tc>
        <w:tc>
          <w:tcPr>
            <w:tcW w:w="1273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103,2</w:t>
            </w:r>
          </w:p>
        </w:tc>
      </w:tr>
    </w:tbl>
    <w:p w:rsidR="00C06811" w:rsidRDefault="00C06811" w:rsidP="00C06811">
      <w:pPr>
        <w:ind w:firstLine="709"/>
      </w:pPr>
    </w:p>
    <w:p w:rsidR="00C06811" w:rsidRPr="00C06811" w:rsidRDefault="00C06811" w:rsidP="00C06811">
      <w:pPr>
        <w:pStyle w:val="2"/>
      </w:pPr>
      <w:r>
        <w:br w:type="page"/>
      </w:r>
      <w:bookmarkStart w:id="14" w:name="_Toc256627459"/>
      <w:r w:rsidR="006C57C8" w:rsidRPr="00C06811">
        <w:t>Приложение 4</w:t>
      </w:r>
      <w:bookmarkEnd w:id="14"/>
    </w:p>
    <w:p w:rsidR="00C06811" w:rsidRDefault="00C06811" w:rsidP="00C06811">
      <w:pPr>
        <w:ind w:firstLine="709"/>
      </w:pPr>
    </w:p>
    <w:p w:rsidR="00257B67" w:rsidRPr="00C06811" w:rsidRDefault="006C57C8" w:rsidP="00C06811">
      <w:pPr>
        <w:ind w:left="708" w:firstLine="1"/>
      </w:pPr>
      <w:r w:rsidRPr="00C06811">
        <w:t>Таблица 4</w:t>
      </w:r>
      <w:r w:rsidR="00C06811">
        <w:t xml:space="preserve">. </w:t>
      </w:r>
      <w:r w:rsidR="00257B67" w:rsidRPr="00C06811">
        <w:t xml:space="preserve">Прямые иностранные инвестиции в Польше </w:t>
      </w:r>
      <w:r w:rsidRPr="00C06811">
        <w:t>по странам происхождения капита</w:t>
      </w:r>
      <w:r w:rsidR="00257B67" w:rsidRPr="00C06811">
        <w:t xml:space="preserve">ла </w:t>
      </w:r>
      <w:r w:rsidRPr="00C06811">
        <w:t>на 3</w:t>
      </w:r>
      <w:r w:rsidR="00C06811">
        <w:t>1.12.20</w:t>
      </w:r>
      <w:r w:rsidRPr="00C06811">
        <w:t>04</w:t>
      </w:r>
      <w:r w:rsidR="00C06811">
        <w:t xml:space="preserve"> (</w:t>
      </w:r>
      <w:r w:rsidRPr="00C06811">
        <w:t>в млн</w:t>
      </w:r>
      <w:r w:rsidR="00C06811" w:rsidRPr="00C06811">
        <w:t xml:space="preserve">. </w:t>
      </w:r>
      <w:r w:rsidRPr="00C06811">
        <w:t>USD</w:t>
      </w:r>
      <w:r w:rsidR="00C06811" w:rsidRPr="00C06811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2571"/>
        <w:gridCol w:w="916"/>
        <w:gridCol w:w="1168"/>
        <w:gridCol w:w="2061"/>
        <w:gridCol w:w="1637"/>
      </w:tblGrid>
      <w:tr w:rsidR="00C06811" w:rsidRPr="00C06811" w:rsidTr="003F3553">
        <w:trPr>
          <w:jc w:val="center"/>
        </w:trPr>
        <w:tc>
          <w:tcPr>
            <w:tcW w:w="1041" w:type="dxa"/>
            <w:vMerge w:val="restart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№ пп</w:t>
            </w:r>
            <w:r w:rsidR="00C06811" w:rsidRPr="00C06811">
              <w:t xml:space="preserve">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Страна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Капиталовложения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Инвестиционный план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Число инвесторов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vMerge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vMerge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Сумма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Участие в</w:t>
            </w:r>
            <w:r w:rsidR="00C06811" w:rsidRPr="00C06811">
              <w:t>%</w:t>
            </w:r>
          </w:p>
        </w:tc>
        <w:tc>
          <w:tcPr>
            <w:tcW w:w="0" w:type="auto"/>
            <w:vMerge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vMerge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</w:t>
            </w:r>
          </w:p>
        </w:tc>
        <w:tc>
          <w:tcPr>
            <w:tcW w:w="0" w:type="auto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Франция</w:t>
            </w:r>
          </w:p>
        </w:tc>
        <w:tc>
          <w:tcPr>
            <w:tcW w:w="0" w:type="auto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10</w:t>
            </w:r>
            <w:r w:rsidR="00C06811">
              <w:t>.2</w:t>
            </w:r>
            <w:r w:rsidRPr="00C06811">
              <w:t>20,8</w:t>
            </w:r>
          </w:p>
        </w:tc>
        <w:tc>
          <w:tcPr>
            <w:tcW w:w="0" w:type="auto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19,2</w:t>
            </w:r>
          </w:p>
        </w:tc>
        <w:tc>
          <w:tcPr>
            <w:tcW w:w="0" w:type="auto"/>
            <w:shd w:val="clear" w:color="auto" w:fill="auto"/>
          </w:tcPr>
          <w:p w:rsidR="00257B67" w:rsidRPr="00C06811" w:rsidRDefault="00C06811" w:rsidP="00C06811">
            <w:pPr>
              <w:pStyle w:val="afd"/>
            </w:pPr>
            <w:r>
              <w:t>1.7</w:t>
            </w:r>
            <w:r w:rsidR="00257B67" w:rsidRPr="00C06811">
              <w:t>07,8</w:t>
            </w:r>
          </w:p>
        </w:tc>
        <w:tc>
          <w:tcPr>
            <w:tcW w:w="0" w:type="auto"/>
            <w:shd w:val="clear" w:color="auto" w:fill="auto"/>
          </w:tcPr>
          <w:p w:rsidR="00257B67" w:rsidRPr="00C06811" w:rsidRDefault="00257B67" w:rsidP="00C06811">
            <w:pPr>
              <w:pStyle w:val="afd"/>
            </w:pPr>
            <w:r w:rsidRPr="00C06811">
              <w:t>87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США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7</w:t>
            </w:r>
            <w:r w:rsidR="00C06811">
              <w:t>.8</w:t>
            </w:r>
            <w:r w:rsidRPr="00C06811">
              <w:t>06,0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14,7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1.9</w:t>
            </w:r>
            <w:r w:rsidR="006C57C8" w:rsidRPr="00C06811">
              <w:t>16,8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125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Германия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7</w:t>
            </w:r>
            <w:r w:rsidR="00C06811">
              <w:t>.1</w:t>
            </w:r>
            <w:r w:rsidRPr="00C06811">
              <w:t>38,3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13,5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1.20</w:t>
            </w:r>
            <w:r w:rsidR="006C57C8" w:rsidRPr="00C06811">
              <w:t>1,2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207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Голландия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4.5</w:t>
            </w:r>
            <w:r w:rsidR="006C57C8" w:rsidRPr="00C06811">
              <w:t>84,6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8,6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518,3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74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Италия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3.5</w:t>
            </w:r>
            <w:r w:rsidR="006C57C8" w:rsidRPr="00C06811">
              <w:t>01,4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6,6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1.1</w:t>
            </w:r>
            <w:r w:rsidR="006C57C8" w:rsidRPr="00C06811">
              <w:t>63,4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61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Великобритания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2.6</w:t>
            </w:r>
            <w:r w:rsidR="006C57C8" w:rsidRPr="00C06811">
              <w:t>67,0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290,9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40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Международные Организации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2.4</w:t>
            </w:r>
            <w:r w:rsidR="006C57C8" w:rsidRPr="00C06811">
              <w:t>65,7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4,6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763,5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18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Швеция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2.3</w:t>
            </w:r>
            <w:r w:rsidR="006C57C8" w:rsidRPr="00C06811">
              <w:t>12,1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4,3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350,5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57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9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Корея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1.6</w:t>
            </w:r>
            <w:r w:rsidR="006C57C8" w:rsidRPr="00C06811">
              <w:t>18,7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3,0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20,0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1.2</w:t>
            </w:r>
            <w:r w:rsidR="006C57C8" w:rsidRPr="00C06811">
              <w:t>86,4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2,4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11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Бельгия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1.1</w:t>
            </w:r>
            <w:r w:rsidR="006C57C8" w:rsidRPr="00C06811">
              <w:t>62,1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2,2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71,8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22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Ирландия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</w:t>
            </w:r>
            <w:r w:rsidR="00C06811">
              <w:t>.0</w:t>
            </w:r>
            <w:r w:rsidRPr="00C06811">
              <w:t>41,2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3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Дания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915,0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1,7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180,9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38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14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Кипр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914,8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1,7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Швейцария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904,8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1,7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320,7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22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Aвстрия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818,8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80,8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8,8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Норвегия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546,3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173,9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15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Япония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517,5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111,0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12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19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Греция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501,5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0,9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Португалия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493,1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0,9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66,6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21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Финляндия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424,1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50,8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18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Испания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380,2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0,7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9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Kанада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250,2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37,4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13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24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Хорватия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173,0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16,0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Турция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100,1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0,2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58,0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Другие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408,5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410,5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27</w:t>
            </w: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Всего инвестиций более 1 млн</w:t>
            </w:r>
            <w:r w:rsidR="00C06811" w:rsidRPr="00C06811">
              <w:t xml:space="preserve">. </w:t>
            </w:r>
            <w:r w:rsidRPr="00C06811">
              <w:t>USD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</w:t>
            </w:r>
            <w:r w:rsidR="00C06811">
              <w:t>3.1</w:t>
            </w:r>
            <w:r w:rsidRPr="00C06811">
              <w:t>52,2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100,0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9</w:t>
            </w:r>
            <w:r w:rsidR="00C06811">
              <w:t>.8</w:t>
            </w:r>
            <w:r w:rsidRPr="00C06811">
              <w:t>17,3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906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Оценочные инвестиции менее 1 млн</w:t>
            </w:r>
            <w:r w:rsidR="00C06811" w:rsidRPr="00C06811">
              <w:t xml:space="preserve">. </w:t>
            </w:r>
            <w:r w:rsidRPr="00C06811">
              <w:t>USD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C06811" w:rsidP="00C06811">
            <w:pPr>
              <w:pStyle w:val="afd"/>
            </w:pPr>
            <w:r>
              <w:t>3.6</w:t>
            </w:r>
            <w:r w:rsidR="006C57C8" w:rsidRPr="00C06811">
              <w:t>81,3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</w:tr>
      <w:tr w:rsidR="00C06811" w:rsidRPr="00C06811" w:rsidTr="003F3553">
        <w:trPr>
          <w:jc w:val="center"/>
        </w:trPr>
        <w:tc>
          <w:tcPr>
            <w:tcW w:w="1041" w:type="dxa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Всего в Польше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  <w:r w:rsidRPr="00C06811">
              <w:t>56</w:t>
            </w:r>
            <w:r w:rsidR="00C06811">
              <w:t>.8</w:t>
            </w:r>
            <w:r w:rsidRPr="00C06811">
              <w:t>33,5</w:t>
            </w: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  <w:tc>
          <w:tcPr>
            <w:tcW w:w="0" w:type="auto"/>
            <w:shd w:val="clear" w:color="auto" w:fill="auto"/>
          </w:tcPr>
          <w:p w:rsidR="006C57C8" w:rsidRPr="00C06811" w:rsidRDefault="006C57C8" w:rsidP="00C06811">
            <w:pPr>
              <w:pStyle w:val="afd"/>
            </w:pPr>
          </w:p>
        </w:tc>
      </w:tr>
    </w:tbl>
    <w:p w:rsidR="00257B67" w:rsidRPr="00C06811" w:rsidRDefault="00257B67" w:rsidP="00C06811">
      <w:pPr>
        <w:ind w:firstLine="709"/>
      </w:pPr>
      <w:bookmarkStart w:id="15" w:name="_GoBack"/>
      <w:bookmarkEnd w:id="15"/>
    </w:p>
    <w:sectPr w:rsidR="00257B67" w:rsidRPr="00C06811" w:rsidSect="00C06811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53" w:rsidRDefault="003F3553">
      <w:pPr>
        <w:ind w:firstLine="709"/>
      </w:pPr>
      <w:r>
        <w:separator/>
      </w:r>
    </w:p>
  </w:endnote>
  <w:endnote w:type="continuationSeparator" w:id="0">
    <w:p w:rsidR="003F3553" w:rsidRDefault="003F355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11" w:rsidRDefault="00C06811" w:rsidP="00C06811">
    <w:pPr>
      <w:pStyle w:val="aa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53" w:rsidRDefault="003F3553">
      <w:pPr>
        <w:ind w:firstLine="709"/>
      </w:pPr>
      <w:r>
        <w:separator/>
      </w:r>
    </w:p>
  </w:footnote>
  <w:footnote w:type="continuationSeparator" w:id="0">
    <w:p w:rsidR="003F3553" w:rsidRDefault="003F3553">
      <w:pPr>
        <w:ind w:firstLine="709"/>
      </w:pPr>
      <w:r>
        <w:continuationSeparator/>
      </w:r>
    </w:p>
  </w:footnote>
  <w:footnote w:id="1">
    <w:p w:rsidR="003F3553" w:rsidRDefault="00C06811" w:rsidP="00C06811">
      <w:pPr>
        <w:pStyle w:val="a6"/>
      </w:pPr>
      <w:r>
        <w:rPr>
          <w:rStyle w:val="a8"/>
          <w:sz w:val="20"/>
          <w:szCs w:val="20"/>
        </w:rPr>
        <w:footnoteRef/>
      </w:r>
      <w:r w:rsidRPr="00CC270D">
        <w:rPr>
          <w:lang w:val="en-US"/>
        </w:rPr>
        <w:t xml:space="preserve"> Dabrowski M. Polityka gospodarcza okresu transformacji / PWN. — Warsaw, 1995. </w:t>
      </w:r>
      <w:r>
        <w:rPr>
          <w:lang w:val="en-US"/>
        </w:rPr>
        <w:t>–</w:t>
      </w:r>
      <w:r w:rsidRPr="00CC270D">
        <w:rPr>
          <w:lang w:val="en-US"/>
        </w:rPr>
        <w:t xml:space="preserve"> </w:t>
      </w:r>
      <w:r>
        <w:t>с</w:t>
      </w:r>
      <w:r>
        <w:rPr>
          <w:lang w:val="en-US"/>
        </w:rPr>
        <w:t>. 46.</w:t>
      </w:r>
    </w:p>
  </w:footnote>
  <w:footnote w:id="2">
    <w:p w:rsidR="003F3553" w:rsidRDefault="00C06811" w:rsidP="00C06811">
      <w:pPr>
        <w:pStyle w:val="a6"/>
      </w:pPr>
      <w:r w:rsidRPr="00C94A33">
        <w:rPr>
          <w:rStyle w:val="a8"/>
          <w:sz w:val="20"/>
          <w:szCs w:val="20"/>
        </w:rPr>
        <w:footnoteRef/>
      </w:r>
      <w:r w:rsidRPr="00C94A33">
        <w:t xml:space="preserve"> Авдокушин Е.Ф. Международные экономические отношения: Учебное пособие. 4-е изд. пере</w:t>
      </w:r>
      <w:r>
        <w:t>раб. и доп. // СПб.: Маркетинг</w:t>
      </w:r>
      <w:r w:rsidRPr="00C94A33">
        <w:t>, 1999.- с.</w:t>
      </w:r>
      <w:r>
        <w:t xml:space="preserve"> 85.</w:t>
      </w:r>
    </w:p>
  </w:footnote>
  <w:footnote w:id="3">
    <w:p w:rsidR="003F3553" w:rsidRDefault="00C06811" w:rsidP="00C06811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C94A33">
        <w:t xml:space="preserve">Смирнов Е.Н. Введение в курс мировой экономики: Учебное пособие для вузов. 2-е изд., перераб. и доп. //  Издательство: КноРус, 2009. – с. </w:t>
      </w:r>
      <w:r>
        <w:t>201</w:t>
      </w:r>
      <w:r w:rsidRPr="00C94A33">
        <w:t xml:space="preserve">. </w:t>
      </w:r>
    </w:p>
  </w:footnote>
  <w:footnote w:id="4">
    <w:p w:rsidR="003F3553" w:rsidRDefault="00C06811" w:rsidP="00C06811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C27941">
        <w:t>Ломакин В.К. Мировая экономика / ЮНИТИ, 2008. – с. 671.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811" w:rsidRDefault="00DE157A" w:rsidP="00C06811">
    <w:pPr>
      <w:pStyle w:val="ad"/>
      <w:framePr w:wrap="auto" w:vAnchor="text" w:hAnchor="margin" w:xAlign="right" w:y="1"/>
      <w:ind w:firstLine="0"/>
      <w:jc w:val="both"/>
      <w:rPr>
        <w:rStyle w:val="ae"/>
      </w:rPr>
    </w:pPr>
    <w:r>
      <w:rPr>
        <w:rStyle w:val="ae"/>
      </w:rPr>
      <w:t>2</w:t>
    </w:r>
  </w:p>
  <w:p w:rsidR="00C06811" w:rsidRDefault="00C06811" w:rsidP="00C06811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7635A"/>
    <w:multiLevelType w:val="hybridMultilevel"/>
    <w:tmpl w:val="82AA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0E6EB9"/>
    <w:multiLevelType w:val="hybridMultilevel"/>
    <w:tmpl w:val="26806EB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C7E"/>
    <w:rsid w:val="00004E33"/>
    <w:rsid w:val="000B5E04"/>
    <w:rsid w:val="000C3871"/>
    <w:rsid w:val="000E46AE"/>
    <w:rsid w:val="00257B67"/>
    <w:rsid w:val="002A6D2E"/>
    <w:rsid w:val="002E5472"/>
    <w:rsid w:val="00305CF6"/>
    <w:rsid w:val="00315A18"/>
    <w:rsid w:val="003220B0"/>
    <w:rsid w:val="00395F6E"/>
    <w:rsid w:val="003B5D4B"/>
    <w:rsid w:val="003D5D45"/>
    <w:rsid w:val="003F3553"/>
    <w:rsid w:val="00440251"/>
    <w:rsid w:val="004723D1"/>
    <w:rsid w:val="00475653"/>
    <w:rsid w:val="005211CA"/>
    <w:rsid w:val="0058708B"/>
    <w:rsid w:val="005A708D"/>
    <w:rsid w:val="005D7825"/>
    <w:rsid w:val="00612D61"/>
    <w:rsid w:val="006523FC"/>
    <w:rsid w:val="006B0A44"/>
    <w:rsid w:val="006B5D17"/>
    <w:rsid w:val="006C57C8"/>
    <w:rsid w:val="006D125E"/>
    <w:rsid w:val="006E5D51"/>
    <w:rsid w:val="006F3E65"/>
    <w:rsid w:val="0073583B"/>
    <w:rsid w:val="0074208D"/>
    <w:rsid w:val="007D67F2"/>
    <w:rsid w:val="00802B5A"/>
    <w:rsid w:val="0082092B"/>
    <w:rsid w:val="008406EA"/>
    <w:rsid w:val="008426BA"/>
    <w:rsid w:val="008D6DD2"/>
    <w:rsid w:val="009764BE"/>
    <w:rsid w:val="0099232C"/>
    <w:rsid w:val="009C495F"/>
    <w:rsid w:val="00A12E02"/>
    <w:rsid w:val="00A13B6E"/>
    <w:rsid w:val="00A23196"/>
    <w:rsid w:val="00AC148E"/>
    <w:rsid w:val="00AD6DB7"/>
    <w:rsid w:val="00B85AE0"/>
    <w:rsid w:val="00BF0479"/>
    <w:rsid w:val="00C06811"/>
    <w:rsid w:val="00C205CF"/>
    <w:rsid w:val="00C27941"/>
    <w:rsid w:val="00C837E1"/>
    <w:rsid w:val="00C94A33"/>
    <w:rsid w:val="00CC270D"/>
    <w:rsid w:val="00D32B52"/>
    <w:rsid w:val="00D53C7E"/>
    <w:rsid w:val="00D83FBC"/>
    <w:rsid w:val="00D92127"/>
    <w:rsid w:val="00D97373"/>
    <w:rsid w:val="00DD6E2C"/>
    <w:rsid w:val="00DE157A"/>
    <w:rsid w:val="00E35C50"/>
    <w:rsid w:val="00E90B87"/>
    <w:rsid w:val="00EC3446"/>
    <w:rsid w:val="00EC6122"/>
    <w:rsid w:val="00F40A1A"/>
    <w:rsid w:val="00F55205"/>
    <w:rsid w:val="00F81483"/>
    <w:rsid w:val="00FB79AC"/>
    <w:rsid w:val="00FD69DE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A4887D-406A-4A70-B471-CE633E27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0681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06811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06811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C0681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0681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06811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0681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0681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0681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C06811"/>
    <w:pPr>
      <w:ind w:firstLine="709"/>
    </w:pPr>
    <w:rPr>
      <w:color w:val="000000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C06811"/>
    <w:rPr>
      <w:rFonts w:cs="Times New Roman"/>
      <w:color w:val="000000"/>
      <w:lang w:val="ru-RU" w:eastAsia="ru-RU"/>
    </w:rPr>
  </w:style>
  <w:style w:type="character" w:styleId="a8">
    <w:name w:val="footnote reference"/>
    <w:uiPriority w:val="99"/>
    <w:semiHidden/>
    <w:rsid w:val="00C06811"/>
    <w:rPr>
      <w:rFonts w:cs="Times New Roman"/>
      <w:sz w:val="28"/>
      <w:szCs w:val="28"/>
      <w:vertAlign w:val="superscript"/>
    </w:rPr>
  </w:style>
  <w:style w:type="table" w:styleId="a9">
    <w:name w:val="Table Grid"/>
    <w:basedOn w:val="a4"/>
    <w:uiPriority w:val="99"/>
    <w:rsid w:val="00C0681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HTML">
    <w:name w:val="HTML Preformatted"/>
    <w:basedOn w:val="a2"/>
    <w:link w:val="HTML0"/>
    <w:uiPriority w:val="99"/>
    <w:rsid w:val="00842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footer"/>
    <w:basedOn w:val="a2"/>
    <w:link w:val="ab"/>
    <w:uiPriority w:val="99"/>
    <w:semiHidden/>
    <w:rsid w:val="00C06811"/>
    <w:pPr>
      <w:tabs>
        <w:tab w:val="center" w:pos="4819"/>
        <w:tab w:val="right" w:pos="9639"/>
      </w:tabs>
      <w:ind w:firstLine="709"/>
    </w:pPr>
  </w:style>
  <w:style w:type="character" w:customStyle="1" w:styleId="ab">
    <w:name w:val="Нижний колонтитул Знак"/>
    <w:link w:val="aa"/>
    <w:uiPriority w:val="99"/>
    <w:semiHidden/>
    <w:locked/>
    <w:rsid w:val="00C06811"/>
    <w:rPr>
      <w:rFonts w:cs="Times New Roman"/>
      <w:sz w:val="28"/>
      <w:szCs w:val="28"/>
      <w:lang w:val="ru-RU" w:eastAsia="ru-RU"/>
    </w:rPr>
  </w:style>
  <w:style w:type="character" w:customStyle="1" w:styleId="ac">
    <w:name w:val="Верхний колонтитул Знак"/>
    <w:link w:val="ad"/>
    <w:uiPriority w:val="99"/>
    <w:semiHidden/>
    <w:locked/>
    <w:rsid w:val="00C06811"/>
    <w:rPr>
      <w:rFonts w:cs="Times New Roman"/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C06811"/>
    <w:rPr>
      <w:rFonts w:ascii="Times New Roman" w:hAnsi="Times New Roman" w:cs="Times New Roman"/>
      <w:sz w:val="28"/>
      <w:szCs w:val="28"/>
    </w:rPr>
  </w:style>
  <w:style w:type="character" w:customStyle="1" w:styleId="lg">
    <w:name w:val="lg"/>
    <w:uiPriority w:val="99"/>
    <w:rsid w:val="00FB79AC"/>
    <w:rPr>
      <w:rFonts w:cs="Times New Roman"/>
    </w:rPr>
  </w:style>
  <w:style w:type="paragraph" w:styleId="11">
    <w:name w:val="toc 1"/>
    <w:basedOn w:val="a2"/>
    <w:next w:val="a2"/>
    <w:autoRedefine/>
    <w:uiPriority w:val="99"/>
    <w:semiHidden/>
    <w:rsid w:val="00C06811"/>
    <w:pPr>
      <w:tabs>
        <w:tab w:val="right" w:leader="dot" w:pos="1400"/>
      </w:tabs>
      <w:ind w:firstLine="709"/>
    </w:pPr>
  </w:style>
  <w:style w:type="paragraph" w:styleId="21">
    <w:name w:val="toc 2"/>
    <w:basedOn w:val="a2"/>
    <w:next w:val="a2"/>
    <w:autoRedefine/>
    <w:uiPriority w:val="99"/>
    <w:semiHidden/>
    <w:rsid w:val="00C06811"/>
    <w:pPr>
      <w:tabs>
        <w:tab w:val="left" w:leader="dot" w:pos="3500"/>
      </w:tabs>
      <w:ind w:firstLine="0"/>
      <w:jc w:val="left"/>
    </w:pPr>
    <w:rPr>
      <w:smallCaps/>
    </w:rPr>
  </w:style>
  <w:style w:type="table" w:styleId="-1">
    <w:name w:val="Table Web 1"/>
    <w:basedOn w:val="a4"/>
    <w:uiPriority w:val="99"/>
    <w:rsid w:val="00C0681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2"/>
    <w:next w:val="af"/>
    <w:link w:val="ac"/>
    <w:uiPriority w:val="99"/>
    <w:rsid w:val="00C0681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2">
    <w:name w:val="Верхний колонтитул Знак1"/>
    <w:uiPriority w:val="99"/>
    <w:semiHidden/>
    <w:rPr>
      <w:sz w:val="28"/>
      <w:szCs w:val="28"/>
    </w:rPr>
  </w:style>
  <w:style w:type="character" w:styleId="af0">
    <w:name w:val="endnote reference"/>
    <w:uiPriority w:val="99"/>
    <w:semiHidden/>
    <w:rsid w:val="00C06811"/>
    <w:rPr>
      <w:rFonts w:cs="Times New Roman"/>
      <w:vertAlign w:val="superscript"/>
    </w:rPr>
  </w:style>
  <w:style w:type="paragraph" w:styleId="af">
    <w:name w:val="Body Text"/>
    <w:basedOn w:val="a2"/>
    <w:link w:val="af1"/>
    <w:uiPriority w:val="99"/>
    <w:rsid w:val="00C06811"/>
    <w:pPr>
      <w:ind w:firstLine="709"/>
    </w:pPr>
  </w:style>
  <w:style w:type="character" w:customStyle="1" w:styleId="af1">
    <w:name w:val="Основной текст Знак"/>
    <w:link w:val="af"/>
    <w:uiPriority w:val="99"/>
    <w:semiHidden/>
    <w:locked/>
    <w:rPr>
      <w:rFonts w:cs="Times New Roman"/>
      <w:sz w:val="28"/>
      <w:szCs w:val="28"/>
    </w:rPr>
  </w:style>
  <w:style w:type="paragraph" w:customStyle="1" w:styleId="af2">
    <w:name w:val="выделение"/>
    <w:uiPriority w:val="99"/>
    <w:rsid w:val="00C0681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C06811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4"/>
    <w:uiPriority w:val="99"/>
    <w:rsid w:val="00C0681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C06811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C06811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styleId="af6">
    <w:name w:val="Plain Text"/>
    <w:basedOn w:val="a2"/>
    <w:link w:val="13"/>
    <w:uiPriority w:val="99"/>
    <w:rsid w:val="00C06811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6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8">
    <w:name w:val="caption"/>
    <w:basedOn w:val="a2"/>
    <w:next w:val="a2"/>
    <w:uiPriority w:val="99"/>
    <w:qFormat/>
    <w:rsid w:val="00C06811"/>
    <w:pPr>
      <w:ind w:firstLine="709"/>
    </w:pPr>
    <w:rPr>
      <w:b/>
      <w:bCs/>
      <w:sz w:val="20"/>
      <w:szCs w:val="20"/>
    </w:rPr>
  </w:style>
  <w:style w:type="character" w:customStyle="1" w:styleId="af9">
    <w:name w:val="номер страницы"/>
    <w:uiPriority w:val="99"/>
    <w:rsid w:val="00C06811"/>
    <w:rPr>
      <w:rFonts w:cs="Times New Roman"/>
      <w:sz w:val="28"/>
      <w:szCs w:val="28"/>
    </w:rPr>
  </w:style>
  <w:style w:type="paragraph" w:styleId="afa">
    <w:name w:val="Normal (Web)"/>
    <w:basedOn w:val="a2"/>
    <w:uiPriority w:val="99"/>
    <w:rsid w:val="00C06811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b">
    <w:name w:val="Обычный +"/>
    <w:basedOn w:val="a2"/>
    <w:autoRedefine/>
    <w:uiPriority w:val="99"/>
    <w:rsid w:val="00C06811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C06811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C0681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06811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C06811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C0681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c">
    <w:name w:val="содержание"/>
    <w:autoRedefine/>
    <w:uiPriority w:val="99"/>
    <w:rsid w:val="00C0681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06811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06811"/>
    <w:pPr>
      <w:numPr>
        <w:numId w:val="5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C06811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C0681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0681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06811"/>
    <w:rPr>
      <w:i/>
      <w:iCs/>
    </w:rPr>
  </w:style>
  <w:style w:type="paragraph" w:customStyle="1" w:styleId="afd">
    <w:name w:val="ТАБЛИЦА"/>
    <w:next w:val="a2"/>
    <w:autoRedefine/>
    <w:uiPriority w:val="99"/>
    <w:rsid w:val="00C06811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C06811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C06811"/>
  </w:style>
  <w:style w:type="table" w:customStyle="1" w:styleId="15">
    <w:name w:val="Стиль таблицы1"/>
    <w:basedOn w:val="a4"/>
    <w:uiPriority w:val="99"/>
    <w:rsid w:val="00C0681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C06811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C06811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customStyle="1" w:styleId="aff2">
    <w:name w:val="титут"/>
    <w:autoRedefine/>
    <w:uiPriority w:val="99"/>
    <w:rsid w:val="00C0681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8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637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639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647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3645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3648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3638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0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80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8730</Words>
  <Characters>49766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>Home</Company>
  <LinksUpToDate>false</LinksUpToDate>
  <CharactersWithSpaces>58380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User</dc:creator>
  <cp:keywords/>
  <dc:description/>
  <cp:lastModifiedBy>admin</cp:lastModifiedBy>
  <cp:revision>2</cp:revision>
  <cp:lastPrinted>2009-03-30T13:04:00Z</cp:lastPrinted>
  <dcterms:created xsi:type="dcterms:W3CDTF">2014-02-28T07:34:00Z</dcterms:created>
  <dcterms:modified xsi:type="dcterms:W3CDTF">2014-02-28T07:34:00Z</dcterms:modified>
</cp:coreProperties>
</file>