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Луганский Национальный Аграрный Университет</w:t>
      </w: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Кафедра Материаловедения</w:t>
      </w:r>
    </w:p>
    <w:p w:rsidR="001C7309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1D9B" w:rsidRDefault="00FD1D9B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1D9B" w:rsidRDefault="00FD1D9B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1D9B" w:rsidRPr="00CA42BE" w:rsidRDefault="00FD1D9B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Тема:</w:t>
      </w:r>
      <w:r w:rsidRPr="00CA42BE">
        <w:rPr>
          <w:rFonts w:ascii="Times New Roman" w:hAnsi="Times New Roman"/>
          <w:b/>
          <w:bCs/>
          <w:sz w:val="28"/>
          <w:szCs w:val="28"/>
        </w:rPr>
        <w:t xml:space="preserve"> ПОРТЛАНДЦЕМЕНТ</w:t>
      </w: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1D9B" w:rsidRDefault="001C7309" w:rsidP="00FD1D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Выполнил:</w:t>
      </w:r>
    </w:p>
    <w:p w:rsidR="00FD1D9B" w:rsidRDefault="001C7309" w:rsidP="00FD1D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студент 633 гр.</w:t>
      </w:r>
    </w:p>
    <w:p w:rsidR="001C7309" w:rsidRPr="00CA42BE" w:rsidRDefault="001C7309" w:rsidP="00FD1D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Комаров Роман</w:t>
      </w:r>
    </w:p>
    <w:p w:rsidR="00FD1D9B" w:rsidRDefault="001C7309" w:rsidP="00FD1D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Проверил:</w:t>
      </w:r>
    </w:p>
    <w:p w:rsidR="001C7309" w:rsidRPr="00CA42BE" w:rsidRDefault="001C7309" w:rsidP="00FD1D9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Сумасшедший Погостнов</w:t>
      </w: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FD1D9B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Луганс 2008</w:t>
      </w:r>
    </w:p>
    <w:p w:rsidR="00CA42BE" w:rsidRPr="00CA42BE" w:rsidRDefault="00CA42BE">
      <w:pPr>
        <w:rPr>
          <w:rFonts w:ascii="Times New Roman" w:hAnsi="Times New Roman"/>
          <w:b/>
          <w:bCs/>
          <w:sz w:val="28"/>
          <w:szCs w:val="28"/>
        </w:rPr>
      </w:pPr>
      <w:r w:rsidRPr="00CA42BE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C7309" w:rsidRPr="00CA42BE" w:rsidRDefault="00CA42BE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A42BE">
        <w:rPr>
          <w:rFonts w:ascii="Times New Roman" w:hAnsi="Times New Roman"/>
          <w:b/>
          <w:bCs/>
          <w:sz w:val="28"/>
          <w:szCs w:val="28"/>
        </w:rPr>
        <w:t xml:space="preserve">Лекция 8. </w:t>
      </w:r>
      <w:r w:rsidR="001C7309" w:rsidRPr="00CA42BE">
        <w:rPr>
          <w:rFonts w:ascii="Times New Roman" w:hAnsi="Times New Roman"/>
          <w:b/>
          <w:bCs/>
          <w:sz w:val="28"/>
          <w:szCs w:val="28"/>
        </w:rPr>
        <w:t>ПОРТЛАНДЦЕМЕНТ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A42BE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42BE">
        <w:rPr>
          <w:rFonts w:ascii="Times New Roman" w:hAnsi="Times New Roman"/>
          <w:b/>
          <w:sz w:val="28"/>
          <w:szCs w:val="28"/>
        </w:rPr>
        <w:t>8.1</w:t>
      </w:r>
      <w:r w:rsidR="00CA42BE" w:rsidRPr="00CA42BE">
        <w:rPr>
          <w:rFonts w:ascii="Times New Roman" w:hAnsi="Times New Roman"/>
          <w:b/>
          <w:sz w:val="28"/>
          <w:szCs w:val="28"/>
        </w:rPr>
        <w:t xml:space="preserve"> </w:t>
      </w:r>
      <w:r w:rsidR="00CA42BE" w:rsidRPr="00CA42BE">
        <w:rPr>
          <w:rFonts w:ascii="Times New Roman" w:hAnsi="Times New Roman"/>
          <w:b/>
          <w:bCs/>
          <w:sz w:val="28"/>
          <w:szCs w:val="28"/>
        </w:rPr>
        <w:t>Сырье и технология изготовления портландцемента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Портландцемент – гидравлическое вяжущее, получаемое тонким измельчением портландцементного клинкера и небольшого количества гипса (1,5...3 %). Клинкер получают обжигом до спекания сырьевой смеси, обеспечивающей в портландцементе преобладание силикатов кальция. К клинкеру для замедления схватывания цемента добавляют гипс. Для улучшения некоторых свойств и снижения стоимости портландцемента допускается введение минеральных добавок. 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Производство. Основные операции при получении портландцемента: приготовление сырьевой смеси, обжиг ее до получения цементного клинкера и помол его совместно с добавками. Клинкер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 xml:space="preserve">имеет следующий химический состав(%): СаО – 62...68,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CA42BE">
        <w:rPr>
          <w:rFonts w:ascii="Times New Roman" w:hAnsi="Times New Roman"/>
          <w:sz w:val="28"/>
          <w:szCs w:val="28"/>
        </w:rPr>
        <w:t>– 18...26, 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CA42BE">
        <w:rPr>
          <w:rFonts w:ascii="Times New Roman" w:hAnsi="Times New Roman"/>
          <w:sz w:val="28"/>
          <w:szCs w:val="28"/>
        </w:rPr>
        <w:t xml:space="preserve">– 4...9, </w:t>
      </w:r>
      <w:r w:rsidRPr="00CA42BE">
        <w:rPr>
          <w:rFonts w:ascii="Times New Roman" w:hAnsi="Times New Roman"/>
          <w:sz w:val="28"/>
          <w:szCs w:val="28"/>
          <w:lang w:val="en-US"/>
        </w:rPr>
        <w:t>F</w:t>
      </w:r>
      <w:r w:rsidRPr="00CA42BE">
        <w:rPr>
          <w:rFonts w:ascii="Times New Roman" w:hAnsi="Times New Roman"/>
          <w:sz w:val="28"/>
          <w:szCs w:val="28"/>
        </w:rPr>
        <w:t>е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CA42BE">
        <w:rPr>
          <w:rFonts w:ascii="Times New Roman" w:hAnsi="Times New Roman"/>
          <w:sz w:val="28"/>
          <w:szCs w:val="28"/>
        </w:rPr>
        <w:t>– 2...6. Чаще используют известняк и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 xml:space="preserve">глину в соотношении 3:1. В сырьевую смесь вводят корректирующие добавки и промышленные отходы, обеспечивающие требуемый состав клинкера. 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Тщательно подготовленную сырьевую смесь (рис.8.1.) подают на обжиг во вращающуюся печь, диаметром до </w:t>
      </w:r>
      <w:smartTag w:uri="urn:schemas-microsoft-com:office:smarttags" w:element="metricconverter">
        <w:smartTagPr>
          <w:attr w:name="ProductID" w:val="7 м"/>
        </w:smartTagPr>
        <w:r w:rsidRPr="00CA42BE">
          <w:rPr>
            <w:rFonts w:ascii="Times New Roman" w:hAnsi="Times New Roman"/>
            <w:sz w:val="28"/>
            <w:szCs w:val="28"/>
          </w:rPr>
          <w:t>7 м</w:t>
        </w:r>
      </w:smartTag>
      <w:r w:rsidRPr="00CA42BE">
        <w:rPr>
          <w:rFonts w:ascii="Times New Roman" w:hAnsi="Times New Roman"/>
          <w:sz w:val="28"/>
          <w:szCs w:val="28"/>
        </w:rPr>
        <w:t xml:space="preserve"> и длиной до </w:t>
      </w:r>
      <w:smartTag w:uri="urn:schemas-microsoft-com:office:smarttags" w:element="metricconverter">
        <w:smartTagPr>
          <w:attr w:name="ProductID" w:val="185 м"/>
        </w:smartTagPr>
        <w:r w:rsidRPr="00CA42BE">
          <w:rPr>
            <w:rFonts w:ascii="Times New Roman" w:hAnsi="Times New Roman"/>
            <w:sz w:val="28"/>
            <w:szCs w:val="28"/>
          </w:rPr>
          <w:t>185 м</w:t>
        </w:r>
      </w:smartTag>
      <w:r w:rsidRPr="00CA42BE">
        <w:rPr>
          <w:rFonts w:ascii="Times New Roman" w:hAnsi="Times New Roman"/>
          <w:sz w:val="28"/>
          <w:szCs w:val="28"/>
        </w:rPr>
        <w:t>. Изнутри печь выложена огнеупорным кирпичом. Печь установлена под небольшим (3...4˚) углом к горизонту и вращается (0,8...1,3 мин</w:t>
      </w:r>
      <w:r w:rsidRPr="00CA42BE">
        <w:rPr>
          <w:rFonts w:ascii="Times New Roman" w:hAnsi="Times New Roman"/>
          <w:sz w:val="28"/>
          <w:szCs w:val="28"/>
          <w:vertAlign w:val="superscript"/>
        </w:rPr>
        <w:t>-1</w:t>
      </w:r>
      <w:r w:rsidRPr="00CA42BE">
        <w:rPr>
          <w:rFonts w:ascii="Times New Roman" w:hAnsi="Times New Roman"/>
          <w:sz w:val="28"/>
          <w:szCs w:val="28"/>
        </w:rPr>
        <w:t xml:space="preserve">), благодаря этому сырьевая смесь перемещается в ней от верхнего конца к нижнему, куда подается топливо. Максимальная температура обжига 1450° С. При таких высоких температурах оксид кальция СаО, образовавшийся в результате разложения известняка, взаимодействует с оксидами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, 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 xml:space="preserve"> и </w:t>
      </w:r>
      <w:r w:rsidRPr="00CA42BE">
        <w:rPr>
          <w:rFonts w:ascii="Times New Roman" w:hAnsi="Times New Roman"/>
          <w:sz w:val="28"/>
          <w:szCs w:val="28"/>
          <w:lang w:val="en-US"/>
        </w:rPr>
        <w:t>F</w:t>
      </w:r>
      <w:r w:rsidRPr="00CA42BE">
        <w:rPr>
          <w:rFonts w:ascii="Times New Roman" w:hAnsi="Times New Roman"/>
          <w:sz w:val="28"/>
          <w:szCs w:val="28"/>
        </w:rPr>
        <w:t>е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 xml:space="preserve">, образующимися при разложении глины. Продукты взаимодействия, частично плавясь и спекаясь друг с другом, образуют портландцементный клинкер – плотные твердые гранулы серого цвета. В состав портландцементного клинкера входят четыре основных минерала (табл. 8.1) и небольшое количество стеклообразного вещества. 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Таблица 8.1. Минеральный состав портландцементного клинкера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3"/>
        <w:gridCol w:w="1943"/>
        <w:gridCol w:w="1483"/>
      </w:tblGrid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Минерал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Формула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Количество, %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Трехкальциевый силикат (алит),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 xml:space="preserve">Двухкальциевый силикат (белит),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Трехкальциевый алюминат,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Четырехкальциевый алюмоферрит,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3CaO · SiO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</w:pP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3CaO · SiO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3CaO · AL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4CaO · Al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· Fe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42…65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12…35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4…14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10…18</w:t>
            </w:r>
          </w:p>
        </w:tc>
      </w:tr>
    </w:tbl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Примечание: В скобках сокращенное обозначение клинкерных минералов.</w:t>
      </w:r>
    </w:p>
    <w:p w:rsid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Портландцементный клинкер (на 60…80%) состоит из силикатов кальция, из-за чего портландцемент называют силикатным цементом.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Для получения портландцемента клинкер размалывают в трубных или шаровых мельницах с гипсом и другими добавками. Свойства портландцемента зависят от его минерального состава и тонкости помола клинкера. При взаимодействии с влагой воздуха активность портландцемента падает, поэтому его предохраняют от действия влаги. Портландцемент хранят в силосах, а транспортируют в специальных вагонах, автомобилях-цементовозах. </w:t>
      </w:r>
    </w:p>
    <w:p w:rsid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A42BE" w:rsidRPr="00CA42BE" w:rsidSect="00CA42BE">
          <w:pgSz w:w="11906" w:h="16838"/>
          <w:pgMar w:top="1134" w:right="851" w:bottom="1134" w:left="1701" w:header="709" w:footer="709" w:gutter="0"/>
          <w:pgNumType w:start="33"/>
          <w:cols w:space="708"/>
          <w:docGrid w:linePitch="360"/>
        </w:sectPr>
      </w:pPr>
    </w:p>
    <w:p w:rsidR="001C7309" w:rsidRPr="00CA42BE" w:rsidRDefault="0094253D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80.1pt;height:300.5pt;mso-position-horizontal-relative:char;mso-position-vertical-relative:line" coordorigin="7326,2130" coordsize="4573,2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326;top:2130;width:4573;height:288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326;top:2130;width:4573;height:2884" strokecolor="white">
              <v:textbox style="mso-next-textbox:#_x0000_s1028">
                <w:txbxContent>
                  <w:p w:rsidR="001C7309" w:rsidRDefault="0094253D" w:rsidP="001C7309">
                    <w:pPr>
                      <w:jc w:val="center"/>
                    </w:pPr>
                    <w:r>
                      <w:rPr>
                        <w:noProof/>
                      </w:rPr>
                      <w:pict>
                        <v:shape id="Рисунок 2" o:spid="_x0000_i1026" type="#_x0000_t75" style="width:465pt;height:293.25pt;visibility:visible;mso-wrap-style:square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CA42BE" w:rsidRPr="00CA42BE" w:rsidSect="00CA42BE">
          <w:pgSz w:w="16838" w:h="11906" w:orient="landscape"/>
          <w:pgMar w:top="1134" w:right="851" w:bottom="1134" w:left="1701" w:header="709" w:footer="709" w:gutter="0"/>
          <w:pgNumType w:start="52"/>
          <w:cols w:space="708"/>
          <w:docGrid w:linePitch="360"/>
        </w:sectPr>
      </w:pPr>
    </w:p>
    <w:p w:rsidR="00CA42BE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42BE">
        <w:rPr>
          <w:rFonts w:ascii="Times New Roman" w:hAnsi="Times New Roman"/>
          <w:b/>
          <w:sz w:val="28"/>
          <w:szCs w:val="28"/>
        </w:rPr>
        <w:t>8.2</w:t>
      </w:r>
      <w:r w:rsidR="00CA42BE" w:rsidRPr="00CA42BE">
        <w:rPr>
          <w:rFonts w:ascii="Times New Roman" w:hAnsi="Times New Roman"/>
          <w:b/>
          <w:sz w:val="28"/>
          <w:szCs w:val="28"/>
        </w:rPr>
        <w:t xml:space="preserve"> </w:t>
      </w:r>
      <w:r w:rsidR="00CA42BE" w:rsidRPr="00CA42BE">
        <w:rPr>
          <w:rFonts w:ascii="Times New Roman" w:hAnsi="Times New Roman"/>
          <w:b/>
          <w:bCs/>
          <w:sz w:val="28"/>
          <w:szCs w:val="28"/>
        </w:rPr>
        <w:t>Твердение и свойства портландцемента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Твердение. При смешивании с водой частицы портландцемента начинают растворяться, причем одновременно может происходить гидролиз (разложение водой) и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гидратация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(присоединение воды) продуктов растворения с образованием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гидратных соединений. По этой схеме взаимодействуют с водой главные компоненты клинкера алит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 xml:space="preserve"> и белит С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: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CA42BE">
        <w:rPr>
          <w:rFonts w:ascii="Times New Roman" w:hAnsi="Times New Roman"/>
          <w:sz w:val="28"/>
          <w:szCs w:val="28"/>
        </w:rPr>
        <w:t xml:space="preserve">2(3СаО ·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) + 6Н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</w:rPr>
        <w:t xml:space="preserve"> → З</w:t>
      </w:r>
      <w:r w:rsidRPr="00CA42BE">
        <w:rPr>
          <w:rFonts w:ascii="Times New Roman" w:hAnsi="Times New Roman"/>
          <w:sz w:val="28"/>
          <w:szCs w:val="28"/>
          <w:lang w:val="en-US"/>
        </w:rPr>
        <w:t>C</w:t>
      </w:r>
      <w:r w:rsidRPr="00CA42BE">
        <w:rPr>
          <w:rFonts w:ascii="Times New Roman" w:hAnsi="Times New Roman"/>
          <w:sz w:val="28"/>
          <w:szCs w:val="28"/>
        </w:rPr>
        <w:t xml:space="preserve">аО ·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· 3Н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 + 3Са(ОН)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2(2СаО·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) + 4Н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О → 3СаО · </w:t>
      </w:r>
      <w:r w:rsidRPr="00CA42BE">
        <w:rPr>
          <w:rFonts w:ascii="Times New Roman" w:hAnsi="Times New Roman"/>
          <w:sz w:val="28"/>
          <w:szCs w:val="28"/>
          <w:lang w:val="en-US"/>
        </w:rPr>
        <w:t>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· 3Н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 +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Трехкальциевый силикат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 xml:space="preserve"> взаимодействует с водой намного активнее, чем С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;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при взаимодействии силикатов кальция с водой выделяется растворимый в воде компонент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–создающий щелочную реакцию в твердеющем цементе;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 xml:space="preserve"> выделяет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в 3 раза больше, чем С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; общее количество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достигает 15 % от массы цементного камня.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Алюминат кальция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А подвергается только гидратации. Этот процесс идет очень быстро с образованием крупных кристаллов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3СаО · 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 xml:space="preserve"> + 6Н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 → 3СаО · 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CA42BE">
        <w:rPr>
          <w:rFonts w:ascii="Times New Roman" w:hAnsi="Times New Roman"/>
          <w:sz w:val="28"/>
          <w:szCs w:val="28"/>
        </w:rPr>
        <w:t>· 6Н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Добавка гипса, вводимая при помоле клинкера, замедляет схватывание цемента на несколько часов из-за образования эттрингита 3СаО·А1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·3Са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 xml:space="preserve"> · (31–33)Н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О, обладающего развернутой поверхностью и экранирования частиц минерала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А.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Четырехкальциевый алюмоферрит С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>А</w:t>
      </w:r>
      <w:r w:rsidRPr="00CA42BE">
        <w:rPr>
          <w:rFonts w:ascii="Times New Roman" w:hAnsi="Times New Roman"/>
          <w:sz w:val="28"/>
          <w:szCs w:val="28"/>
          <w:lang w:val="en-US"/>
        </w:rPr>
        <w:t>F</w:t>
      </w:r>
      <w:r w:rsidRPr="00CA42BE">
        <w:rPr>
          <w:rFonts w:ascii="Times New Roman" w:hAnsi="Times New Roman"/>
          <w:sz w:val="28"/>
          <w:szCs w:val="28"/>
        </w:rPr>
        <w:t xml:space="preserve"> взаимодействует с водой медленнее, чем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А, образуя гидроалюминат и гидроферрит кальция.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A42BE">
        <w:rPr>
          <w:rFonts w:ascii="Times New Roman" w:hAnsi="Times New Roman"/>
          <w:sz w:val="28"/>
          <w:szCs w:val="28"/>
          <w:lang w:val="en-US"/>
        </w:rPr>
        <w:t xml:space="preserve">4CaO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Al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Fe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+ 12 H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O → 3CaO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Al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6H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O + CaO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Fe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 xml:space="preserve"> 6H</w:t>
      </w:r>
      <w:r w:rsidRPr="00CA42B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</w:p>
    <w:p w:rsidR="00CA42BE" w:rsidRPr="00FD1D9B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Основной продукт твердения портландцемента – гидросиликаты кальция – практически нерастворимы в воде. Они выпадают из раствора сначала в виде геля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>Гель гидросиликатов кальция со временем кристаллизуется. Остальные продукты взаимодействия клинкера с водой также участвуют в формировании структуры цементного камня и, также влияют на его свойства. Процесс гидратации зерен портландцемента из-за малой их растворимости растягивается на длительное время. Процесс может протекать при наличие воды в твердеющем материале. Качество цемента принято оценивать по прочности, набираемой им через 28 суток твердения.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42BE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42BE">
        <w:rPr>
          <w:rFonts w:ascii="Times New Roman" w:hAnsi="Times New Roman"/>
          <w:b/>
          <w:sz w:val="28"/>
          <w:szCs w:val="28"/>
        </w:rPr>
        <w:t>8.3</w:t>
      </w:r>
      <w:r w:rsidR="00CA42BE" w:rsidRPr="00CA42BE">
        <w:rPr>
          <w:rFonts w:ascii="Times New Roman" w:hAnsi="Times New Roman"/>
          <w:b/>
          <w:sz w:val="28"/>
          <w:szCs w:val="28"/>
        </w:rPr>
        <w:t xml:space="preserve"> </w:t>
      </w:r>
      <w:r w:rsidR="00CA42BE" w:rsidRPr="00CA42BE">
        <w:rPr>
          <w:rFonts w:ascii="Times New Roman" w:hAnsi="Times New Roman"/>
          <w:b/>
          <w:bCs/>
          <w:sz w:val="28"/>
          <w:szCs w:val="28"/>
        </w:rPr>
        <w:t>Коррозия цементного камня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Коррозия цементного камня. Если вода или водные растворы солей и кислот фильтруются сквозь цементный камень, то начинается его разрушение Коррозия протекает тем интенсивнее, чем выше капиллярная пористость цементного камня В зависимости от действующих коррозионных агентов различают несколько видов коррозии.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Физическая коррозия (выщелачивание). При взаимодействии с водой силикатов кальция выделяется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, около 15 % от объема всех продуктов твердения. Растворимость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в воде около 2 г/л. Поэтому происходит вымывание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и вынос его на поверхность. На бетоне появляются белесые выцветы. Чем больше вымывается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из цементного камня, тем более пористым он становится. Это вызывает усиление фильтрации воды и т. д. Чтобы увеличить стойкость цементного камня к выщелачиванию, используют цементы с пониженным содержанием 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, а также добавляют к цементу активные минеральные (пуццолановые) добавки, связывающие С</w:t>
      </w:r>
      <w:r w:rsidRPr="00CA42BE">
        <w:rPr>
          <w:rFonts w:ascii="Times New Roman" w:hAnsi="Times New Roman"/>
          <w:sz w:val="28"/>
          <w:szCs w:val="28"/>
          <w:lang w:val="en-US"/>
        </w:rPr>
        <w:t>a</w:t>
      </w:r>
      <w:r w:rsidRPr="00CA42BE">
        <w:rPr>
          <w:rFonts w:ascii="Times New Roman" w:hAnsi="Times New Roman"/>
          <w:sz w:val="28"/>
          <w:szCs w:val="28"/>
        </w:rPr>
        <w:t>(</w:t>
      </w:r>
      <w:r w:rsidRPr="00CA42BE">
        <w:rPr>
          <w:rFonts w:ascii="Times New Roman" w:hAnsi="Times New Roman"/>
          <w:sz w:val="28"/>
          <w:szCs w:val="28"/>
          <w:lang w:val="en-US"/>
        </w:rPr>
        <w:t>OH</w:t>
      </w:r>
      <w:r w:rsidRPr="00CA42BE">
        <w:rPr>
          <w:rFonts w:ascii="Times New Roman" w:hAnsi="Times New Roman"/>
          <w:sz w:val="28"/>
          <w:szCs w:val="28"/>
        </w:rPr>
        <w:t>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в менее растворимые гидросиликаты кальция </w:t>
      </w:r>
      <w:r w:rsidRPr="00CA42BE">
        <w:rPr>
          <w:rFonts w:ascii="Times New Roman" w:hAnsi="Times New Roman"/>
          <w:sz w:val="28"/>
          <w:szCs w:val="28"/>
          <w:lang w:val="en-US"/>
        </w:rPr>
        <w:t>nCaO·SiO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·</w:t>
      </w:r>
      <w:r w:rsidRPr="00CA42BE">
        <w:rPr>
          <w:rFonts w:ascii="Times New Roman" w:hAnsi="Times New Roman"/>
          <w:sz w:val="28"/>
          <w:szCs w:val="28"/>
          <w:lang w:val="en-US"/>
        </w:rPr>
        <w:t>mH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</w:rPr>
        <w:t>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Еще сильнее разрушает цементный камень фильтрующаяся через него минерализованная вода. В этом случае внутри цементного камня происходят различные химические реакции между растворенными в воде солями и продуктами твердения цемента.Особенно опасна сульфатная коррозия, вызываемая водой, содержащей сульфат-ион 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perscript"/>
        </w:rPr>
        <w:t>2-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 xml:space="preserve"> (в частности, растворы Са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>). причиной разрушения является образование в цементном камне сложного комплексного соединения: гидросульфоалюмината кальция (эттрингит). Он образуется при взаимодействии гидроалюмината кальция, находящегося в цементном камне с поступающими с водой ионами Са</w:t>
      </w:r>
      <w:r w:rsidRPr="00CA42BE">
        <w:rPr>
          <w:rFonts w:ascii="Times New Roman" w:hAnsi="Times New Roman"/>
          <w:sz w:val="28"/>
          <w:szCs w:val="28"/>
          <w:vertAlign w:val="superscript"/>
        </w:rPr>
        <w:t>2+</w:t>
      </w:r>
      <w:r w:rsidRPr="00CA42BE">
        <w:rPr>
          <w:rFonts w:ascii="Times New Roman" w:hAnsi="Times New Roman"/>
          <w:sz w:val="28"/>
          <w:szCs w:val="28"/>
        </w:rPr>
        <w:t xml:space="preserve"> и 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perscript"/>
        </w:rPr>
        <w:t>2-</w:t>
      </w:r>
      <w:r w:rsidRPr="00CA42BE">
        <w:rPr>
          <w:rFonts w:ascii="Times New Roman" w:hAnsi="Times New Roman"/>
          <w:sz w:val="28"/>
          <w:szCs w:val="28"/>
          <w:vertAlign w:val="subscript"/>
        </w:rPr>
        <w:t xml:space="preserve">4 </w:t>
      </w:r>
      <w:r w:rsidRPr="00CA42BE">
        <w:rPr>
          <w:rFonts w:ascii="Times New Roman" w:hAnsi="Times New Roman"/>
          <w:sz w:val="28"/>
          <w:szCs w:val="28"/>
        </w:rPr>
        <w:t>по следующей схеме: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3СаО·А1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·6Н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 + 3Са</w:t>
      </w:r>
      <w:r w:rsidRPr="00CA42BE">
        <w:rPr>
          <w:rFonts w:ascii="Times New Roman" w:hAnsi="Times New Roman"/>
          <w:sz w:val="28"/>
          <w:szCs w:val="28"/>
          <w:vertAlign w:val="superscript"/>
        </w:rPr>
        <w:t>2+</w:t>
      </w:r>
      <w:r w:rsidRPr="00CA42BE">
        <w:rPr>
          <w:rFonts w:ascii="Times New Roman" w:hAnsi="Times New Roman"/>
          <w:sz w:val="28"/>
          <w:szCs w:val="28"/>
        </w:rPr>
        <w:t xml:space="preserve"> + 3</w:t>
      </w:r>
      <w:r w:rsidRPr="00CA42BE">
        <w:rPr>
          <w:rFonts w:ascii="Times New Roman" w:hAnsi="Times New Roman"/>
          <w:sz w:val="28"/>
          <w:szCs w:val="28"/>
          <w:lang w:val="en-US"/>
        </w:rPr>
        <w:t>S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perscript"/>
        </w:rPr>
        <w:t>2-</w:t>
      </w:r>
      <w:r w:rsidRPr="00CA42BE">
        <w:rPr>
          <w:rFonts w:ascii="Times New Roman" w:hAnsi="Times New Roman"/>
          <w:sz w:val="28"/>
          <w:szCs w:val="28"/>
          <w:vertAlign w:val="subscript"/>
        </w:rPr>
        <w:t>-4</w:t>
      </w:r>
      <w:r w:rsidRPr="00CA42BE">
        <w:rPr>
          <w:rFonts w:ascii="Times New Roman" w:hAnsi="Times New Roman"/>
          <w:sz w:val="28"/>
          <w:szCs w:val="28"/>
        </w:rPr>
        <w:t xml:space="preserve"> + 25Н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 = 3СаО·А1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·3СаSО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>·31Н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О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Объем эттрингита в 2,5 раза превышает объем исходного гидроалюмината, что и вызывает разрушение затвердевшего цементного камня. Это эта же реакция образования эттрингита, но проводимая целенаправленно, используется для получения расширяющихся цементов. Основные пути защиты цементных материалов от коррозии следующие: правильный выбор типа цемента и</w:t>
      </w:r>
      <w:r w:rsidR="00CA42BE">
        <w:rPr>
          <w:rFonts w:ascii="Times New Roman" w:hAnsi="Times New Roman"/>
          <w:sz w:val="28"/>
          <w:szCs w:val="28"/>
        </w:rPr>
        <w:t xml:space="preserve"> </w:t>
      </w:r>
      <w:r w:rsidRPr="00CA42BE">
        <w:rPr>
          <w:rFonts w:ascii="Times New Roman" w:hAnsi="Times New Roman"/>
          <w:sz w:val="28"/>
          <w:szCs w:val="28"/>
        </w:rPr>
        <w:t xml:space="preserve">снижение капиллярной пористости цементного камня. 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Свойства портландцемента К ним относятся, тонкость помола, сроки схватывания, равномерность изменения объема при твердении и прочность затвердевшего цементного камня. Истинная плотность портландцемента составляет 2900...3200 кг/м</w:t>
      </w:r>
      <w:r w:rsidRPr="00CA42BE">
        <w:rPr>
          <w:rFonts w:ascii="Times New Roman" w:hAnsi="Times New Roman"/>
          <w:sz w:val="28"/>
          <w:szCs w:val="28"/>
          <w:vertAlign w:val="superscript"/>
        </w:rPr>
        <w:t>3</w:t>
      </w:r>
      <w:r w:rsidRPr="00CA42BE">
        <w:rPr>
          <w:rFonts w:ascii="Times New Roman" w:hAnsi="Times New Roman"/>
          <w:sz w:val="28"/>
          <w:szCs w:val="28"/>
        </w:rPr>
        <w:t>, насыпная плотность в рыхлом состоянии 1000...1100 кг/м</w:t>
      </w:r>
      <w:r w:rsidRPr="00CA42BE">
        <w:rPr>
          <w:rFonts w:ascii="Times New Roman" w:hAnsi="Times New Roman"/>
          <w:sz w:val="28"/>
          <w:szCs w:val="28"/>
          <w:vertAlign w:val="superscript"/>
        </w:rPr>
        <w:t>3</w:t>
      </w:r>
      <w:r w:rsidRPr="00CA42BE">
        <w:rPr>
          <w:rFonts w:ascii="Times New Roman" w:hAnsi="Times New Roman"/>
          <w:sz w:val="28"/>
          <w:szCs w:val="28"/>
        </w:rPr>
        <w:t>, в уплотненном – до 1600 кг/м</w:t>
      </w:r>
      <w:r w:rsidRPr="00CA42BE">
        <w:rPr>
          <w:rFonts w:ascii="Times New Roman" w:hAnsi="Times New Roman"/>
          <w:sz w:val="28"/>
          <w:szCs w:val="28"/>
          <w:vertAlign w:val="superscript"/>
        </w:rPr>
        <w:t>3</w:t>
      </w:r>
      <w:r w:rsidRPr="00CA42BE">
        <w:rPr>
          <w:rFonts w:ascii="Times New Roman" w:hAnsi="Times New Roman"/>
          <w:sz w:val="28"/>
          <w:szCs w:val="28"/>
        </w:rPr>
        <w:t>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Тонкость помола характеризуется количеством цемента, проходящим через сито с сеткой №008, (размер отверстий </w:t>
      </w:r>
      <w:smartTag w:uri="urn:schemas-microsoft-com:office:smarttags" w:element="metricconverter">
        <w:smartTagPr>
          <w:attr w:name="ProductID" w:val="0,08 мм"/>
        </w:smartTagPr>
        <w:r w:rsidRPr="00CA42BE">
          <w:rPr>
            <w:rFonts w:ascii="Times New Roman" w:hAnsi="Times New Roman"/>
            <w:sz w:val="28"/>
            <w:szCs w:val="28"/>
          </w:rPr>
          <w:t>0,08 мм</w:t>
        </w:r>
      </w:smartTag>
      <w:r w:rsidRPr="00CA42BE">
        <w:rPr>
          <w:rFonts w:ascii="Times New Roman" w:hAnsi="Times New Roman"/>
          <w:sz w:val="28"/>
          <w:szCs w:val="28"/>
        </w:rPr>
        <w:t>) и его удельной поверхностью. Согласно ГОСТу через сито с сеткой № 008 должно проходить не менее 95 % цемента, при этом удельная поверхность у обычного портландцемента должна быть в пределах 2000...3000см</w:t>
      </w:r>
      <w:r w:rsidRPr="00CA42BE">
        <w:rPr>
          <w:rFonts w:ascii="Times New Roman" w:hAnsi="Times New Roman"/>
          <w:sz w:val="28"/>
          <w:szCs w:val="28"/>
          <w:vertAlign w:val="superscript"/>
        </w:rPr>
        <w:t>2</w:t>
      </w:r>
      <w:r w:rsidRPr="00CA42BE">
        <w:rPr>
          <w:rFonts w:ascii="Times New Roman" w:hAnsi="Times New Roman"/>
          <w:sz w:val="28"/>
          <w:szCs w:val="28"/>
        </w:rPr>
        <w:t>/г. Сроки схватывания портландцемента- начало, не ранее 45 мин; конец – не позднее 10 ч. Марку портландцемента определяют по пределу прочности при сжатии и изгибе образцов-балочек 40х40х160мм, изготовленных из цементно-песчаного раствора (состава 1:3) стандартной консистенции и твердевших 28 суток. Портландцемент выпускают марок: 400; 500; 550 и 600. Твердение портландцемента сопровождается выделением большого количества теплоты. Так как эта теплота выделяется в течение длительного времени (дни, недели), заметного разогрева цементного бетона или раствора не происходит. Однако, если объем бетона велик (например, при бетонировании плотин, массивных фундаментов), возможен разогрев бетона до температуры 70...80° С, что приведет к его растрескиванию.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При твердении цементное тесто уменьшается в объеме. Усадка на воздухе составляет около 0,5...1мм/м. При твердении в воде цемент немного набухает (до 0,5 мм/м). Изменение объема при твердении должно быть равномерным. Это свойство проверяют на лепешках из цементного теста, которые не должны растрескиваться после пропаривания в течение 3 ч. Неравномерность изменения объема возникает из-за присутствия в цементе свободных СаО и. М</w:t>
      </w:r>
      <w:r w:rsidRPr="00CA42BE">
        <w:rPr>
          <w:rFonts w:ascii="Times New Roman" w:hAnsi="Times New Roman"/>
          <w:sz w:val="28"/>
          <w:szCs w:val="28"/>
          <w:lang w:val="en-US"/>
        </w:rPr>
        <w:t>g</w:t>
      </w:r>
      <w:r w:rsidRPr="00CA42BE">
        <w:rPr>
          <w:rFonts w:ascii="Times New Roman" w:hAnsi="Times New Roman"/>
          <w:sz w:val="28"/>
          <w:szCs w:val="28"/>
        </w:rPr>
        <w:t>О, находящихся в виде пережога. Портландцементы и шлакопортландцементы применяют для изготовления бетонов и железобетонных конструкций.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42BE" w:rsidRPr="00CA42BE" w:rsidRDefault="001C7309" w:rsidP="00CA42B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42BE">
        <w:rPr>
          <w:rFonts w:ascii="Times New Roman" w:hAnsi="Times New Roman"/>
          <w:b/>
          <w:sz w:val="28"/>
          <w:szCs w:val="28"/>
        </w:rPr>
        <w:t>8.4</w:t>
      </w:r>
      <w:r w:rsidR="00CA42BE" w:rsidRPr="00CA42BE">
        <w:rPr>
          <w:rFonts w:ascii="Times New Roman" w:hAnsi="Times New Roman"/>
          <w:b/>
          <w:sz w:val="28"/>
          <w:szCs w:val="28"/>
        </w:rPr>
        <w:t xml:space="preserve"> </w:t>
      </w:r>
      <w:r w:rsidR="00CA42BE" w:rsidRPr="00CA42BE">
        <w:rPr>
          <w:rFonts w:ascii="Times New Roman" w:hAnsi="Times New Roman"/>
          <w:b/>
          <w:bCs/>
          <w:sz w:val="28"/>
          <w:szCs w:val="28"/>
        </w:rPr>
        <w:t>Шлакопортландцемент и др. виды цементов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Разновидности цементов представлены в таблице 8.2.</w:t>
      </w:r>
    </w:p>
    <w:p w:rsidR="00CA42BE" w:rsidRPr="00CA42BE" w:rsidRDefault="00CA42BE" w:rsidP="00CA42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Таблица 8.2. Разновидности портландцемента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3257"/>
        <w:gridCol w:w="3920"/>
      </w:tblGrid>
      <w:tr w:rsidR="001C7309" w:rsidRPr="00CA687F" w:rsidTr="00CA42BE"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Виды портландцемента</w:t>
            </w:r>
          </w:p>
        </w:tc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Состав и технология получения</w:t>
            </w:r>
          </w:p>
        </w:tc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Свойства и область применения</w:t>
            </w:r>
          </w:p>
        </w:tc>
      </w:tr>
      <w:tr w:rsidR="001C7309" w:rsidRPr="00CA687F" w:rsidTr="00CA42BE"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Пластифицированный (гидрофильный)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Помол клинкера с добавкой 0,25% сульфитно-дрожжевой бражки в пересчете на сухое вещество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Марки 300, 400, 500. Повышенная подвижность бетонной смеси. Применяют в монолитных бетонных и железобетонных конструкциях.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Гидрофобный (водоотталкивающий)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При помоле клинкера вводят 0,06…0,3 мас., %, гидрофобизирующей добавки (мылонафт и др.)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Повышенная подвижность бетонной смеси и морозостойкость бетона М400.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Быстротвердеющий (БТЦ)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Отличается повышенным содержанием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(трех кальциевого силиката и трех кальциевого алюмината.) Более тонкий помол цемента с уд. поверхностью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=3500…4000см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/г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Быстрое нарастание прочности в начальный период твердения.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Сульфатостойкий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Изготавливают из клинкера с содержанием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не более 50% и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А не более 5%, не содержит активных и инертных добавок.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М400.Повышенная сульфатостойкость, замедленное твердение в начальные сроки.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Шлакопортландцемент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Совместный помол клинкера, доменного шлака 30…60мас., % и природного гипса. 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Марки 300, 400, 500. Плотность 2,8…3,0г/см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,ρ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нас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=1000…1400кг/м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, нормальная густота цементного теста 25…28%.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Пуццолановый цемент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Совместный помол клинкера, природного гипса и 20…40 масс., % активной минеральной добавки или тщательное смешение тех же материалов измельченных раздельно. Применяют для подводных сооружений.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М 300, 400. Замедленный рост прочности, высокая водопотребность. Повышенная водонепроницаемость, водостойкость, пониженная воздухостойкость.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Особобыстро-твердеющий, ОБТЦ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Помол клинкера удельной поверхности до 6000см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/г, Содержит, мас., %: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…58;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…19;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А…8; С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А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…14.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Активность до 70МПа, отличается быстрым нарастанием прочности в первые сутки и к 28 суточному твердению.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Белый и цветной цементы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Изготовляют совместным помолом маложелезистого клинкера, получаемого обжигом смеси мела и белых каолинитовых глин. При помоле клинкера в мельницах применяют фарфоровые шары и футеровку. При помоле вводят 5…6% белого диатомита и природного гипса.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Сорта по белизне: высший, БП-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БП-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. М300, 400, 500. При введении щелочестойких пигментов получают цветные цементы применяемые при отделочных работах.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Тампонажный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Изготавливают совместным помолом клинкера и двуводного гипса. Допускаемое количество активных добавок не более 15% и 10% инертных для «холодных» скважин и для «горячих» - добавки – активных минеральных или граншлака в количестве не более 15%.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Для «холодных» скважин: начало схватывания не ранее 2 час, конец не позднее 10 часов. Температура твердения 22±2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С,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сж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не ниже 2,7 МПа через двое суток твердения.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Для «горячих» скважин: начало схватывания не ранее 1ч 45мин, конец схватывания не позднее 4ч 30мин.</w:t>
            </w:r>
          </w:p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Температура твердения</w:t>
            </w:r>
            <w:r w:rsidR="00CA42BE" w:rsidRPr="00CA68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>- 75±3</w:t>
            </w:r>
            <w:r w:rsidRPr="00CA687F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CA68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A687F">
              <w:rPr>
                <w:rFonts w:ascii="Times New Roman" w:hAnsi="Times New Roman"/>
                <w:sz w:val="20"/>
                <w:szCs w:val="20"/>
                <w:vertAlign w:val="subscript"/>
              </w:rPr>
              <w:t>сж</w:t>
            </w:r>
            <w:r w:rsidRPr="00CA687F">
              <w:rPr>
                <w:rFonts w:ascii="Times New Roman" w:hAnsi="Times New Roman"/>
                <w:sz w:val="20"/>
                <w:szCs w:val="20"/>
              </w:rPr>
              <w:t xml:space="preserve"> не ниже 6,2МПа.</w:t>
            </w:r>
          </w:p>
        </w:tc>
      </w:tr>
      <w:tr w:rsidR="001C7309" w:rsidRPr="00CA687F" w:rsidTr="00CA42BE"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Портландцемент для производства асбестоцементных изделий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Клинкер получают обжигом сырьевой смеси до спекания с преобладающим содержанием силикатов кальция. Допускается введение 3,0 мас, % добавок улучшающих свойства цемента</w:t>
            </w:r>
          </w:p>
        </w:tc>
        <w:tc>
          <w:tcPr>
            <w:tcW w:w="0" w:type="auto"/>
          </w:tcPr>
          <w:p w:rsidR="001C7309" w:rsidRPr="00CA687F" w:rsidRDefault="001C7309" w:rsidP="00CA42BE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687F">
              <w:rPr>
                <w:rFonts w:ascii="Times New Roman" w:hAnsi="Times New Roman"/>
                <w:sz w:val="20"/>
                <w:szCs w:val="20"/>
              </w:rPr>
              <w:t>Начало схватывания не ранее через 1ч 30мин. Конец не позднее 12 часов. М400, 500.</w:t>
            </w:r>
          </w:p>
        </w:tc>
      </w:tr>
    </w:tbl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Глиноземистый цемент – быстротвердеющее и высокопрочное гидравлическое вяжущее вещество, получаемое путем тонкого измельчения клинкера, содержащего преимущественно низкоосновные алюминаты кальция.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Однокальциевый алюминат СаО·</w:t>
      </w:r>
      <w:r w:rsidRPr="00CA42BE">
        <w:rPr>
          <w:rFonts w:ascii="Times New Roman" w:hAnsi="Times New Roman"/>
          <w:sz w:val="28"/>
          <w:szCs w:val="28"/>
          <w:lang w:val="en-US"/>
        </w:rPr>
        <w:t>Al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 xml:space="preserve"> определят быстрое твердение и др. свойства. В нем содержатся и другие алюминаты кальция, например, 2СаО·</w:t>
      </w:r>
      <w:r w:rsidRPr="00CA42BE">
        <w:rPr>
          <w:rFonts w:ascii="Times New Roman" w:hAnsi="Times New Roman"/>
          <w:sz w:val="28"/>
          <w:szCs w:val="28"/>
          <w:lang w:val="en-US"/>
        </w:rPr>
        <w:t>Al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. Цемент изготовляют из известняка СаСО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 xml:space="preserve"> и бокситов содержащих глинозем </w:t>
      </w:r>
      <w:r w:rsidRPr="00CA42BE">
        <w:rPr>
          <w:rFonts w:ascii="Times New Roman" w:hAnsi="Times New Roman"/>
          <w:sz w:val="28"/>
          <w:szCs w:val="28"/>
          <w:lang w:val="en-US"/>
        </w:rPr>
        <w:t>Al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·</w:t>
      </w:r>
      <w:r w:rsidRPr="00CA42BE">
        <w:rPr>
          <w:rFonts w:ascii="Times New Roman" w:hAnsi="Times New Roman"/>
          <w:sz w:val="28"/>
          <w:szCs w:val="28"/>
          <w:lang w:val="en-US"/>
        </w:rPr>
        <w:t>nH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</w:rPr>
        <w:t>. Получают этот цемент путем плавки в доменной печи бокситовой руды и железного лома. При этом доменная печь одновременно выдает чугун и шлак, представляющий собой клинкер глиноземистого цемента.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Глиноземистый цемент марок 400, 500 и 600 обладают необычно быстрым твердением через трое суток и нормальными сроками схватывания. Начало схватывания не ранее 30мин. и конец схватывания не позднее 12 часов, тепловыделение при твердении в 1,5 раза больше, чем у портландцемента. В продуктах гидратации глиноземистого цемента не содержится гидроксида кальция,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 xml:space="preserve"> и трехкальциевого шестиводного гидроалюмината (С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·А·Н</w:t>
      </w:r>
      <w:r w:rsidRPr="00CA42BE">
        <w:rPr>
          <w:rFonts w:ascii="Times New Roman" w:hAnsi="Times New Roman"/>
          <w:sz w:val="28"/>
          <w:szCs w:val="28"/>
          <w:vertAlign w:val="subscript"/>
        </w:rPr>
        <w:t>6</w:t>
      </w:r>
      <w:r w:rsidRPr="00CA42BE">
        <w:rPr>
          <w:rFonts w:ascii="Times New Roman" w:hAnsi="Times New Roman"/>
          <w:sz w:val="28"/>
          <w:szCs w:val="28"/>
        </w:rPr>
        <w:t>), если температура твердения не превышает 25</w:t>
      </w:r>
      <w:r w:rsidRPr="00CA42BE">
        <w:rPr>
          <w:rFonts w:ascii="Times New Roman" w:hAnsi="Times New Roman"/>
          <w:sz w:val="28"/>
          <w:szCs w:val="28"/>
          <w:vertAlign w:val="superscript"/>
        </w:rPr>
        <w:t>о</w:t>
      </w:r>
      <w:r w:rsidRPr="00CA42BE">
        <w:rPr>
          <w:rFonts w:ascii="Times New Roman" w:hAnsi="Times New Roman"/>
          <w:sz w:val="28"/>
          <w:szCs w:val="28"/>
        </w:rPr>
        <w:t>С, поэтому бетон на глинозёмистом цементе более стоек по сравнению с портландцементом против выщелачивания Са(ОН)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</w:rPr>
        <w:t>, а также в растворах сульфата кальция и магния (в морской воде). Однако затвердевший глиноземистый цемент разрушается в растворах кислот и щелочей, поэтому глиноземистый цемент нельзя смешивать с портландцементом и известью.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С учетом специфических свойств и высокой стоимостью глиноземистый цемент предназначается для получения быстротвердеющих, а также жаростойких бетонов и растворов и расширяющихся цементов.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 xml:space="preserve">Расширяющиеся и безусадочные цементы. 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Состав цемента дает возможность регулировать количество и скорость образования кристаллов гидросульфоалюмината кальция (3СаО·</w:t>
      </w:r>
      <w:r w:rsidRPr="00CA42BE">
        <w:rPr>
          <w:rFonts w:ascii="Times New Roman" w:hAnsi="Times New Roman"/>
          <w:sz w:val="28"/>
          <w:szCs w:val="28"/>
          <w:lang w:val="en-US"/>
        </w:rPr>
        <w:t>Al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  <w:vertAlign w:val="subscript"/>
        </w:rPr>
        <w:t>3</w:t>
      </w:r>
      <w:r w:rsidRPr="00CA42BE">
        <w:rPr>
          <w:rFonts w:ascii="Times New Roman" w:hAnsi="Times New Roman"/>
          <w:sz w:val="28"/>
          <w:szCs w:val="28"/>
        </w:rPr>
        <w:t>·3</w:t>
      </w:r>
      <w:r w:rsidRPr="00CA42BE">
        <w:rPr>
          <w:rFonts w:ascii="Times New Roman" w:hAnsi="Times New Roman"/>
          <w:sz w:val="28"/>
          <w:szCs w:val="28"/>
          <w:lang w:val="en-US"/>
        </w:rPr>
        <w:t>CaSO</w:t>
      </w:r>
      <w:r w:rsidRPr="00CA42BE">
        <w:rPr>
          <w:rFonts w:ascii="Times New Roman" w:hAnsi="Times New Roman"/>
          <w:sz w:val="28"/>
          <w:szCs w:val="28"/>
          <w:vertAlign w:val="subscript"/>
        </w:rPr>
        <w:t>4</w:t>
      </w:r>
      <w:r w:rsidRPr="00CA42BE">
        <w:rPr>
          <w:rFonts w:ascii="Times New Roman" w:hAnsi="Times New Roman"/>
          <w:sz w:val="28"/>
          <w:szCs w:val="28"/>
        </w:rPr>
        <w:t>·31</w:t>
      </w:r>
      <w:r w:rsidRPr="00CA42BE">
        <w:rPr>
          <w:rFonts w:ascii="Times New Roman" w:hAnsi="Times New Roman"/>
          <w:sz w:val="28"/>
          <w:szCs w:val="28"/>
          <w:lang w:val="en-US"/>
        </w:rPr>
        <w:t>H</w:t>
      </w:r>
      <w:r w:rsidRPr="00CA42BE">
        <w:rPr>
          <w:rFonts w:ascii="Times New Roman" w:hAnsi="Times New Roman"/>
          <w:sz w:val="28"/>
          <w:szCs w:val="28"/>
          <w:vertAlign w:val="subscript"/>
        </w:rPr>
        <w:t>2</w:t>
      </w:r>
      <w:r w:rsidRPr="00CA42BE">
        <w:rPr>
          <w:rFonts w:ascii="Times New Roman" w:hAnsi="Times New Roman"/>
          <w:sz w:val="28"/>
          <w:szCs w:val="28"/>
          <w:lang w:val="en-US"/>
        </w:rPr>
        <w:t>O</w:t>
      </w:r>
      <w:r w:rsidRPr="00CA42BE">
        <w:rPr>
          <w:rFonts w:ascii="Times New Roman" w:hAnsi="Times New Roman"/>
          <w:sz w:val="28"/>
          <w:szCs w:val="28"/>
        </w:rPr>
        <w:t>) и избежать появления больших напряжений, вызывающих растрескивание затвердевшего цементного камня.</w:t>
      </w:r>
    </w:p>
    <w:p w:rsidR="001C7309" w:rsidRPr="00CA42BE" w:rsidRDefault="001C7309" w:rsidP="00CA42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2BE">
        <w:rPr>
          <w:rFonts w:ascii="Times New Roman" w:hAnsi="Times New Roman"/>
          <w:sz w:val="28"/>
          <w:szCs w:val="28"/>
        </w:rPr>
        <w:t>Расширяющийся портландцемент (РПЦ) получают совместным тонким измельчением в мас., % портландцементного клинкера – 58…63, глиноземистого шлака или клинкера – 5…7, гипса – 7…10, доменного граншлака или другой активной минеральной добавки – 23…28. РПЦ отличается быстрым твердением в условиях кратковременного пропаривания, высокой плотностью и водонепроницаемостью цементного камня и способностью расширяться при постоянном увлажнении в течение первых трех суток.</w:t>
      </w:r>
      <w:bookmarkStart w:id="0" w:name="_GoBack"/>
      <w:bookmarkEnd w:id="0"/>
    </w:p>
    <w:sectPr w:rsidR="001C7309" w:rsidRPr="00CA42BE" w:rsidSect="00CA42B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5E6"/>
    <w:multiLevelType w:val="multilevel"/>
    <w:tmpl w:val="E75EB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309"/>
    <w:rsid w:val="0001079B"/>
    <w:rsid w:val="00117C56"/>
    <w:rsid w:val="001C7309"/>
    <w:rsid w:val="003B0751"/>
    <w:rsid w:val="004122F2"/>
    <w:rsid w:val="00463ECE"/>
    <w:rsid w:val="00522C85"/>
    <w:rsid w:val="006D1F3B"/>
    <w:rsid w:val="008B38B0"/>
    <w:rsid w:val="0094253D"/>
    <w:rsid w:val="00AD30AE"/>
    <w:rsid w:val="00C37385"/>
    <w:rsid w:val="00CA42BE"/>
    <w:rsid w:val="00CA687F"/>
    <w:rsid w:val="00E51E43"/>
    <w:rsid w:val="00F10186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DBD7A58C-B1DA-42AF-BE4C-13AFCD45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B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7309"/>
    <w:pPr>
      <w:shd w:val="clear" w:color="auto" w:fill="FFFFFF"/>
      <w:spacing w:after="0" w:line="360" w:lineRule="auto"/>
      <w:ind w:right="480" w:firstLine="720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1C730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2">
    <w:name w:val="Body Text Indent 2"/>
    <w:basedOn w:val="a"/>
    <w:link w:val="20"/>
    <w:uiPriority w:val="99"/>
    <w:rsid w:val="001C7309"/>
    <w:pPr>
      <w:shd w:val="clear" w:color="auto" w:fill="FFFFFF"/>
      <w:spacing w:after="0" w:line="360" w:lineRule="auto"/>
      <w:ind w:right="461"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C730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63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63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2185</Words>
  <Characters>12457</Characters>
  <Application>Microsoft Office Word</Application>
  <DocSecurity>0</DocSecurity>
  <Lines>103</Lines>
  <Paragraphs>29</Paragraphs>
  <ScaleCrop>false</ScaleCrop>
  <Company>Microsoft</Company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2014-02-22T20:35:00Z</dcterms:created>
  <dcterms:modified xsi:type="dcterms:W3CDTF">2014-02-22T20:35:00Z</dcterms:modified>
</cp:coreProperties>
</file>