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286" w:rsidRDefault="007F0286">
      <w:pPr>
        <w:pStyle w:val="10"/>
        <w:tabs>
          <w:tab w:val="right" w:leader="underscore" w:pos="9111"/>
        </w:tabs>
        <w:rPr>
          <w:rFonts w:ascii="Bookman Old Style" w:hAnsi="Bookman Old Style"/>
          <w:sz w:val="24"/>
          <w:u w:val="single"/>
        </w:rPr>
      </w:pPr>
    </w:p>
    <w:p w:rsidR="007F0286" w:rsidRDefault="007F0286">
      <w:pPr>
        <w:pStyle w:val="1"/>
      </w:pPr>
      <w:r>
        <w:t>Содержание.</w:t>
      </w:r>
    </w:p>
    <w:p w:rsidR="007F0286" w:rsidRDefault="007F0286">
      <w:pPr>
        <w:rPr>
          <w:rFonts w:ascii="Bookman Old Style" w:hAnsi="Bookman Old Style"/>
          <w:b/>
          <w:bCs/>
          <w:sz w:val="24"/>
        </w:rPr>
      </w:pPr>
    </w:p>
    <w:p w:rsidR="007F0286" w:rsidRDefault="007F0286">
      <w:pPr>
        <w:rPr>
          <w:rFonts w:ascii="Bookman Old Style" w:hAnsi="Bookman Old Style"/>
          <w:b/>
          <w:bCs/>
          <w:sz w:val="24"/>
        </w:rPr>
      </w:pPr>
    </w:p>
    <w:p w:rsidR="007F0286" w:rsidRDefault="007F0286">
      <w:pPr>
        <w:pStyle w:val="10"/>
        <w:tabs>
          <w:tab w:val="right" w:leader="underscore" w:pos="9111"/>
        </w:tabs>
        <w:spacing w:line="480" w:lineRule="auto"/>
        <w:rPr>
          <w:b w:val="0"/>
          <w:bCs w:val="0"/>
          <w:i w:val="0"/>
          <w:iCs w:val="0"/>
          <w:noProof/>
          <w:snapToGrid/>
          <w:sz w:val="28"/>
          <w:szCs w:val="24"/>
          <w:u w:val="single"/>
        </w:rPr>
      </w:pPr>
      <w:r w:rsidRPr="00842E5D">
        <w:rPr>
          <w:rStyle w:val="aa"/>
          <w:b w:val="0"/>
          <w:bCs w:val="0"/>
          <w:i w:val="0"/>
          <w:iCs w:val="0"/>
          <w:noProof/>
          <w:sz w:val="28"/>
          <w:szCs w:val="40"/>
        </w:rPr>
        <w:t>Введение.</w:t>
      </w:r>
      <w:r>
        <w:rPr>
          <w:b w:val="0"/>
          <w:bCs w:val="0"/>
          <w:i w:val="0"/>
          <w:iCs w:val="0"/>
          <w:noProof/>
          <w:webHidden/>
          <w:sz w:val="28"/>
          <w:u w:val="single"/>
        </w:rPr>
        <w:tab/>
        <w:t>3</w:t>
      </w:r>
    </w:p>
    <w:p w:rsidR="007F0286" w:rsidRDefault="007F0286">
      <w:pPr>
        <w:pStyle w:val="10"/>
        <w:tabs>
          <w:tab w:val="right" w:leader="underscore" w:pos="9111"/>
        </w:tabs>
        <w:spacing w:line="480" w:lineRule="auto"/>
        <w:rPr>
          <w:b w:val="0"/>
          <w:bCs w:val="0"/>
          <w:i w:val="0"/>
          <w:iCs w:val="0"/>
          <w:noProof/>
          <w:snapToGrid/>
          <w:sz w:val="28"/>
          <w:szCs w:val="24"/>
          <w:u w:val="single"/>
        </w:rPr>
      </w:pPr>
      <w:r w:rsidRPr="00842E5D">
        <w:rPr>
          <w:rStyle w:val="aa"/>
          <w:b w:val="0"/>
          <w:bCs w:val="0"/>
          <w:i w:val="0"/>
          <w:iCs w:val="0"/>
          <w:noProof/>
          <w:sz w:val="28"/>
          <w:szCs w:val="40"/>
        </w:rPr>
        <w:t xml:space="preserve">Глава </w:t>
      </w:r>
      <w:r w:rsidRPr="00842E5D">
        <w:rPr>
          <w:rStyle w:val="aa"/>
          <w:b w:val="0"/>
          <w:bCs w:val="0"/>
          <w:i w:val="0"/>
          <w:iCs w:val="0"/>
          <w:noProof/>
          <w:sz w:val="28"/>
          <w:szCs w:val="40"/>
          <w:lang w:val="en-US"/>
        </w:rPr>
        <w:t>I</w:t>
      </w:r>
      <w:r w:rsidRPr="00842E5D">
        <w:rPr>
          <w:rStyle w:val="aa"/>
          <w:b w:val="0"/>
          <w:bCs w:val="0"/>
          <w:i w:val="0"/>
          <w:iCs w:val="0"/>
          <w:noProof/>
          <w:sz w:val="28"/>
          <w:szCs w:val="40"/>
        </w:rPr>
        <w:t>. Центральный банк и денежно-кредитная политика.</w:t>
      </w:r>
      <w:r>
        <w:rPr>
          <w:b w:val="0"/>
          <w:bCs w:val="0"/>
          <w:i w:val="0"/>
          <w:iCs w:val="0"/>
          <w:noProof/>
          <w:webHidden/>
          <w:sz w:val="28"/>
          <w:u w:val="single"/>
        </w:rPr>
        <w:tab/>
        <w:t>3</w:t>
      </w:r>
    </w:p>
    <w:p w:rsidR="007F0286" w:rsidRDefault="007F0286">
      <w:pPr>
        <w:pStyle w:val="20"/>
        <w:tabs>
          <w:tab w:val="right" w:leader="underscore" w:pos="9111"/>
        </w:tabs>
        <w:spacing w:line="480" w:lineRule="auto"/>
        <w:rPr>
          <w:b w:val="0"/>
          <w:bCs w:val="0"/>
          <w:noProof/>
          <w:snapToGrid/>
          <w:sz w:val="26"/>
          <w:szCs w:val="24"/>
          <w:u w:val="single"/>
        </w:rPr>
      </w:pPr>
      <w:r w:rsidRPr="00842E5D">
        <w:rPr>
          <w:rStyle w:val="aa"/>
          <w:b w:val="0"/>
          <w:bCs w:val="0"/>
          <w:noProof/>
          <w:sz w:val="26"/>
        </w:rPr>
        <w:t>- Понятие центрального банка.</w:t>
      </w:r>
      <w:r>
        <w:rPr>
          <w:b w:val="0"/>
          <w:bCs w:val="0"/>
          <w:noProof/>
          <w:webHidden/>
          <w:sz w:val="26"/>
          <w:u w:val="single"/>
        </w:rPr>
        <w:tab/>
        <w:t>3</w:t>
      </w:r>
    </w:p>
    <w:p w:rsidR="007F0286" w:rsidRDefault="007F0286">
      <w:pPr>
        <w:pStyle w:val="20"/>
        <w:tabs>
          <w:tab w:val="right" w:leader="underscore" w:pos="9111"/>
        </w:tabs>
        <w:spacing w:line="480" w:lineRule="auto"/>
        <w:rPr>
          <w:b w:val="0"/>
          <w:bCs w:val="0"/>
          <w:noProof/>
          <w:snapToGrid/>
          <w:sz w:val="26"/>
          <w:szCs w:val="24"/>
          <w:u w:val="single"/>
        </w:rPr>
      </w:pPr>
      <w:r w:rsidRPr="00842E5D">
        <w:rPr>
          <w:rStyle w:val="aa"/>
          <w:b w:val="0"/>
          <w:bCs w:val="0"/>
          <w:noProof/>
          <w:sz w:val="26"/>
        </w:rPr>
        <w:t>- Функции центрального банка:</w:t>
      </w:r>
      <w:r>
        <w:rPr>
          <w:b w:val="0"/>
          <w:bCs w:val="0"/>
          <w:noProof/>
          <w:webHidden/>
          <w:sz w:val="26"/>
          <w:u w:val="single"/>
        </w:rPr>
        <w:tab/>
        <w:t>5</w:t>
      </w:r>
    </w:p>
    <w:p w:rsidR="007F0286" w:rsidRDefault="007F0286">
      <w:pPr>
        <w:pStyle w:val="20"/>
        <w:tabs>
          <w:tab w:val="right" w:leader="underscore" w:pos="9111"/>
        </w:tabs>
        <w:spacing w:line="480" w:lineRule="auto"/>
        <w:rPr>
          <w:b w:val="0"/>
          <w:bCs w:val="0"/>
          <w:noProof/>
          <w:snapToGrid/>
          <w:sz w:val="28"/>
          <w:szCs w:val="24"/>
          <w:u w:val="single"/>
        </w:rPr>
      </w:pPr>
      <w:r w:rsidRPr="00842E5D">
        <w:rPr>
          <w:rStyle w:val="aa"/>
          <w:b w:val="0"/>
          <w:bCs w:val="0"/>
          <w:noProof/>
          <w:sz w:val="26"/>
        </w:rPr>
        <w:t>- Денежно-кредитная политика.</w:t>
      </w:r>
      <w:r>
        <w:rPr>
          <w:b w:val="0"/>
          <w:bCs w:val="0"/>
          <w:noProof/>
          <w:webHidden/>
          <w:sz w:val="26"/>
          <w:u w:val="single"/>
        </w:rPr>
        <w:tab/>
        <w:t>6</w:t>
      </w:r>
    </w:p>
    <w:p w:rsidR="007F0286" w:rsidRDefault="007F0286">
      <w:pPr>
        <w:pStyle w:val="10"/>
        <w:tabs>
          <w:tab w:val="right" w:leader="underscore" w:pos="9111"/>
        </w:tabs>
        <w:spacing w:line="480" w:lineRule="auto"/>
        <w:rPr>
          <w:b w:val="0"/>
          <w:bCs w:val="0"/>
          <w:i w:val="0"/>
          <w:iCs w:val="0"/>
          <w:noProof/>
          <w:snapToGrid/>
          <w:sz w:val="28"/>
          <w:szCs w:val="24"/>
          <w:u w:val="single"/>
        </w:rPr>
      </w:pPr>
      <w:r w:rsidRPr="00842E5D">
        <w:rPr>
          <w:rStyle w:val="aa"/>
          <w:b w:val="0"/>
          <w:bCs w:val="0"/>
          <w:i w:val="0"/>
          <w:iCs w:val="0"/>
          <w:noProof/>
          <w:sz w:val="28"/>
          <w:szCs w:val="40"/>
        </w:rPr>
        <w:t xml:space="preserve">Глава </w:t>
      </w:r>
      <w:r w:rsidRPr="00842E5D">
        <w:rPr>
          <w:rStyle w:val="aa"/>
          <w:b w:val="0"/>
          <w:bCs w:val="0"/>
          <w:i w:val="0"/>
          <w:iCs w:val="0"/>
          <w:noProof/>
          <w:sz w:val="28"/>
          <w:szCs w:val="40"/>
          <w:lang w:val="en-US"/>
        </w:rPr>
        <w:t>II</w:t>
      </w:r>
      <w:r w:rsidRPr="00842E5D">
        <w:rPr>
          <w:rStyle w:val="aa"/>
          <w:b w:val="0"/>
          <w:bCs w:val="0"/>
          <w:i w:val="0"/>
          <w:iCs w:val="0"/>
          <w:noProof/>
          <w:sz w:val="28"/>
          <w:szCs w:val="40"/>
        </w:rPr>
        <w:t>. ЦБ и денежно-кредитная политика России.</w:t>
      </w:r>
      <w:r>
        <w:rPr>
          <w:b w:val="0"/>
          <w:bCs w:val="0"/>
          <w:i w:val="0"/>
          <w:iCs w:val="0"/>
          <w:noProof/>
          <w:webHidden/>
          <w:sz w:val="28"/>
          <w:u w:val="single"/>
        </w:rPr>
        <w:tab/>
        <w:t>11</w:t>
      </w:r>
    </w:p>
    <w:p w:rsidR="007F0286" w:rsidRDefault="007F0286">
      <w:pPr>
        <w:pStyle w:val="20"/>
        <w:tabs>
          <w:tab w:val="right" w:leader="underscore" w:pos="9111"/>
        </w:tabs>
        <w:spacing w:line="480" w:lineRule="auto"/>
        <w:rPr>
          <w:b w:val="0"/>
          <w:bCs w:val="0"/>
          <w:noProof/>
          <w:snapToGrid/>
          <w:sz w:val="26"/>
          <w:szCs w:val="24"/>
          <w:u w:val="single"/>
        </w:rPr>
      </w:pPr>
      <w:r w:rsidRPr="00842E5D">
        <w:rPr>
          <w:rStyle w:val="aa"/>
          <w:b w:val="0"/>
          <w:bCs w:val="0"/>
          <w:noProof/>
          <w:sz w:val="26"/>
        </w:rPr>
        <w:t>- Задачи и функции ЦБР.</w:t>
      </w:r>
      <w:r>
        <w:rPr>
          <w:b w:val="0"/>
          <w:bCs w:val="0"/>
          <w:noProof/>
          <w:webHidden/>
          <w:sz w:val="26"/>
          <w:u w:val="single"/>
        </w:rPr>
        <w:tab/>
        <w:t>11</w:t>
      </w:r>
    </w:p>
    <w:p w:rsidR="007F0286" w:rsidRDefault="007F0286">
      <w:pPr>
        <w:pStyle w:val="20"/>
        <w:tabs>
          <w:tab w:val="right" w:leader="underscore" w:pos="9111"/>
        </w:tabs>
        <w:spacing w:line="480" w:lineRule="auto"/>
        <w:rPr>
          <w:b w:val="0"/>
          <w:bCs w:val="0"/>
          <w:noProof/>
          <w:snapToGrid/>
          <w:sz w:val="26"/>
          <w:szCs w:val="24"/>
          <w:u w:val="single"/>
        </w:rPr>
      </w:pPr>
      <w:r w:rsidRPr="00842E5D">
        <w:rPr>
          <w:rStyle w:val="aa"/>
          <w:b w:val="0"/>
          <w:bCs w:val="0"/>
          <w:noProof/>
          <w:sz w:val="26"/>
        </w:rPr>
        <w:t>- Основные инструменты денежно-кредитной политики ЦБР.</w:t>
      </w:r>
      <w:r>
        <w:rPr>
          <w:b w:val="0"/>
          <w:bCs w:val="0"/>
          <w:noProof/>
          <w:webHidden/>
          <w:sz w:val="26"/>
          <w:u w:val="single"/>
        </w:rPr>
        <w:tab/>
        <w:t>12</w:t>
      </w:r>
    </w:p>
    <w:p w:rsidR="007F0286" w:rsidRDefault="007F0286">
      <w:pPr>
        <w:pStyle w:val="20"/>
        <w:tabs>
          <w:tab w:val="right" w:leader="underscore" w:pos="9111"/>
        </w:tabs>
        <w:spacing w:line="480" w:lineRule="auto"/>
        <w:rPr>
          <w:b w:val="0"/>
          <w:bCs w:val="0"/>
          <w:noProof/>
          <w:snapToGrid/>
          <w:sz w:val="26"/>
          <w:szCs w:val="24"/>
          <w:u w:val="single"/>
        </w:rPr>
      </w:pPr>
      <w:r w:rsidRPr="00842E5D">
        <w:rPr>
          <w:rStyle w:val="aa"/>
          <w:b w:val="0"/>
          <w:bCs w:val="0"/>
          <w:noProof/>
          <w:sz w:val="26"/>
        </w:rPr>
        <w:t>- Денежно-кредитная политика в 2000 году.</w:t>
      </w:r>
      <w:r>
        <w:rPr>
          <w:b w:val="0"/>
          <w:bCs w:val="0"/>
          <w:noProof/>
          <w:webHidden/>
          <w:sz w:val="26"/>
          <w:u w:val="single"/>
        </w:rPr>
        <w:tab/>
        <w:t>16</w:t>
      </w:r>
    </w:p>
    <w:p w:rsidR="007F0286" w:rsidRDefault="007F0286">
      <w:pPr>
        <w:pStyle w:val="20"/>
        <w:tabs>
          <w:tab w:val="right" w:leader="underscore" w:pos="9111"/>
        </w:tabs>
        <w:spacing w:line="480" w:lineRule="auto"/>
        <w:rPr>
          <w:b w:val="0"/>
          <w:bCs w:val="0"/>
          <w:noProof/>
          <w:snapToGrid/>
          <w:sz w:val="26"/>
          <w:szCs w:val="24"/>
          <w:u w:val="single"/>
        </w:rPr>
      </w:pPr>
      <w:r w:rsidRPr="00842E5D">
        <w:rPr>
          <w:rStyle w:val="aa"/>
          <w:b w:val="0"/>
          <w:bCs w:val="0"/>
          <w:noProof/>
          <w:sz w:val="26"/>
        </w:rPr>
        <w:t>- Вопрос независимости центральных банков.</w:t>
      </w:r>
      <w:r>
        <w:rPr>
          <w:b w:val="0"/>
          <w:bCs w:val="0"/>
          <w:noProof/>
          <w:webHidden/>
          <w:sz w:val="26"/>
          <w:u w:val="single"/>
        </w:rPr>
        <w:tab/>
        <w:t>17</w:t>
      </w:r>
    </w:p>
    <w:p w:rsidR="007F0286" w:rsidRDefault="007F0286">
      <w:pPr>
        <w:pStyle w:val="10"/>
        <w:tabs>
          <w:tab w:val="right" w:leader="underscore" w:pos="9111"/>
        </w:tabs>
        <w:spacing w:line="480" w:lineRule="auto"/>
        <w:rPr>
          <w:b w:val="0"/>
          <w:bCs w:val="0"/>
          <w:i w:val="0"/>
          <w:iCs w:val="0"/>
          <w:noProof/>
          <w:snapToGrid/>
          <w:sz w:val="28"/>
          <w:szCs w:val="24"/>
          <w:u w:val="single"/>
        </w:rPr>
      </w:pPr>
      <w:r w:rsidRPr="00842E5D">
        <w:rPr>
          <w:rStyle w:val="aa"/>
          <w:b w:val="0"/>
          <w:bCs w:val="0"/>
          <w:i w:val="0"/>
          <w:iCs w:val="0"/>
          <w:noProof/>
          <w:sz w:val="28"/>
          <w:szCs w:val="40"/>
        </w:rPr>
        <w:t xml:space="preserve">Глава </w:t>
      </w:r>
      <w:r w:rsidRPr="00842E5D">
        <w:rPr>
          <w:rStyle w:val="aa"/>
          <w:b w:val="0"/>
          <w:bCs w:val="0"/>
          <w:i w:val="0"/>
          <w:iCs w:val="0"/>
          <w:noProof/>
          <w:sz w:val="28"/>
          <w:szCs w:val="40"/>
          <w:lang w:val="en-US"/>
        </w:rPr>
        <w:t>III</w:t>
      </w:r>
      <w:r w:rsidRPr="00842E5D">
        <w:rPr>
          <w:rStyle w:val="aa"/>
          <w:b w:val="0"/>
          <w:bCs w:val="0"/>
          <w:i w:val="0"/>
          <w:iCs w:val="0"/>
          <w:noProof/>
          <w:sz w:val="28"/>
          <w:szCs w:val="40"/>
        </w:rPr>
        <w:t>. Анализ сложившейся ситуации и тенденций.</w:t>
      </w:r>
      <w:r>
        <w:rPr>
          <w:b w:val="0"/>
          <w:bCs w:val="0"/>
          <w:i w:val="0"/>
          <w:iCs w:val="0"/>
          <w:noProof/>
          <w:webHidden/>
          <w:sz w:val="28"/>
          <w:u w:val="single"/>
        </w:rPr>
        <w:tab/>
        <w:t>19</w:t>
      </w:r>
    </w:p>
    <w:p w:rsidR="007F0286" w:rsidRDefault="007F0286">
      <w:pPr>
        <w:pStyle w:val="20"/>
        <w:tabs>
          <w:tab w:val="right" w:leader="underscore" w:pos="9111"/>
        </w:tabs>
        <w:spacing w:line="480" w:lineRule="auto"/>
        <w:rPr>
          <w:b w:val="0"/>
          <w:bCs w:val="0"/>
          <w:noProof/>
          <w:snapToGrid/>
          <w:sz w:val="26"/>
          <w:szCs w:val="24"/>
          <w:u w:val="single"/>
        </w:rPr>
      </w:pPr>
      <w:r w:rsidRPr="00842E5D">
        <w:rPr>
          <w:rStyle w:val="aa"/>
          <w:b w:val="0"/>
          <w:bCs w:val="0"/>
          <w:noProof/>
          <w:sz w:val="26"/>
        </w:rPr>
        <w:t>- Причины неэффективности банковской системы России.</w:t>
      </w:r>
      <w:r>
        <w:rPr>
          <w:b w:val="0"/>
          <w:bCs w:val="0"/>
          <w:noProof/>
          <w:webHidden/>
          <w:sz w:val="26"/>
          <w:u w:val="single"/>
        </w:rPr>
        <w:tab/>
        <w:t>19</w:t>
      </w:r>
    </w:p>
    <w:p w:rsidR="007F0286" w:rsidRDefault="007F0286">
      <w:pPr>
        <w:pStyle w:val="20"/>
        <w:tabs>
          <w:tab w:val="right" w:leader="underscore" w:pos="9111"/>
        </w:tabs>
        <w:spacing w:line="480" w:lineRule="auto"/>
        <w:rPr>
          <w:b w:val="0"/>
          <w:bCs w:val="0"/>
          <w:noProof/>
          <w:snapToGrid/>
          <w:sz w:val="26"/>
          <w:szCs w:val="24"/>
          <w:u w:val="single"/>
        </w:rPr>
      </w:pPr>
      <w:r w:rsidRPr="00842E5D">
        <w:rPr>
          <w:rStyle w:val="aa"/>
          <w:b w:val="0"/>
          <w:bCs w:val="0"/>
          <w:noProof/>
          <w:sz w:val="26"/>
        </w:rPr>
        <w:t>- Итоги 2000 года и прогнозы на ближайшее будущее.</w:t>
      </w:r>
      <w:r>
        <w:rPr>
          <w:b w:val="0"/>
          <w:bCs w:val="0"/>
          <w:noProof/>
          <w:webHidden/>
          <w:sz w:val="26"/>
          <w:u w:val="single"/>
        </w:rPr>
        <w:tab/>
        <w:t>20</w:t>
      </w:r>
    </w:p>
    <w:p w:rsidR="007F0286" w:rsidRDefault="007F0286">
      <w:pPr>
        <w:pStyle w:val="10"/>
        <w:tabs>
          <w:tab w:val="right" w:leader="underscore" w:pos="9111"/>
        </w:tabs>
        <w:spacing w:line="480" w:lineRule="auto"/>
        <w:rPr>
          <w:b w:val="0"/>
          <w:bCs w:val="0"/>
          <w:i w:val="0"/>
          <w:iCs w:val="0"/>
          <w:noProof/>
          <w:snapToGrid/>
          <w:sz w:val="28"/>
          <w:szCs w:val="24"/>
          <w:u w:val="single"/>
        </w:rPr>
      </w:pPr>
      <w:r w:rsidRPr="00842E5D">
        <w:rPr>
          <w:rStyle w:val="aa"/>
          <w:b w:val="0"/>
          <w:bCs w:val="0"/>
          <w:i w:val="0"/>
          <w:iCs w:val="0"/>
          <w:noProof/>
          <w:sz w:val="28"/>
          <w:szCs w:val="40"/>
        </w:rPr>
        <w:t>Заключение.</w:t>
      </w:r>
      <w:r>
        <w:rPr>
          <w:b w:val="0"/>
          <w:bCs w:val="0"/>
          <w:i w:val="0"/>
          <w:iCs w:val="0"/>
          <w:noProof/>
          <w:webHidden/>
          <w:sz w:val="28"/>
          <w:u w:val="single"/>
        </w:rPr>
        <w:tab/>
        <w:t>24</w:t>
      </w:r>
    </w:p>
    <w:p w:rsidR="007F0286" w:rsidRDefault="007F0286">
      <w:pPr>
        <w:pStyle w:val="10"/>
        <w:tabs>
          <w:tab w:val="right" w:leader="underscore" w:pos="9111"/>
        </w:tabs>
        <w:spacing w:line="480" w:lineRule="auto"/>
        <w:rPr>
          <w:b w:val="0"/>
          <w:bCs w:val="0"/>
          <w:i w:val="0"/>
          <w:iCs w:val="0"/>
          <w:noProof/>
          <w:snapToGrid/>
          <w:sz w:val="28"/>
          <w:szCs w:val="24"/>
          <w:u w:val="single"/>
        </w:rPr>
      </w:pPr>
      <w:r w:rsidRPr="00842E5D">
        <w:rPr>
          <w:rStyle w:val="aa"/>
          <w:b w:val="0"/>
          <w:bCs w:val="0"/>
          <w:i w:val="0"/>
          <w:iCs w:val="0"/>
          <w:noProof/>
          <w:sz w:val="28"/>
          <w:szCs w:val="40"/>
        </w:rPr>
        <w:t>Список использованной литературы.</w:t>
      </w:r>
      <w:r>
        <w:rPr>
          <w:b w:val="0"/>
          <w:bCs w:val="0"/>
          <w:i w:val="0"/>
          <w:iCs w:val="0"/>
          <w:noProof/>
          <w:webHidden/>
          <w:sz w:val="28"/>
          <w:u w:val="single"/>
        </w:rPr>
        <w:tab/>
        <w:t>26</w:t>
      </w:r>
    </w:p>
    <w:p w:rsidR="007F0286" w:rsidRDefault="007F0286">
      <w:pPr>
        <w:pStyle w:val="1"/>
      </w:pPr>
      <w:bookmarkStart w:id="0" w:name="_Toc500860630"/>
      <w:r>
        <w:t>Введение.</w:t>
      </w:r>
      <w:bookmarkEnd w:id="0"/>
    </w:p>
    <w:p w:rsidR="007F0286" w:rsidRDefault="007F0286"/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Денежно-кредитная политика – одно из четырех направлений единой финансовой политики государства, обеспечивающих устойчивость экономики и достижение экономического роста. Именно она контролирует инфляцию и рост денежной массы. Наличие в Российской Федерации достаточно высокого уровня инфляции и несбалансированного роста денежной массы обуславливает огромный интерес к проблемам денежно-кредитная политики и актуальность данной темы.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В своей курсовой работе я основывалась на информации из таких журналов, как «Банковское дело», «Деньги и кредит» и некоторых других периодических изданий и учебников. Вследствие исключительной важности проблем, решаемых денежно-кредитной политикой, средства массовой информации (радио, телевидение, пресса) уделяют ей большое внимание. Публикуется множество аналитических статей, статистических сводок, прогнозов изменения ситуации в ближайшее время и на долгосрочную перспективу.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 xml:space="preserve">Я рассмотрела признаки, цели, функции и инструменты денежно-кредитной политики, характерные для большинства центральных банков. Затем – особенности их применения в Российской Федерации, а также проблемы российской банковской системы, прогнозы и состояние российской экономики и частично коснулась приоритетов кредитно-денежной политики на будущий год. </w:t>
      </w:r>
    </w:p>
    <w:p w:rsidR="007F0286" w:rsidRDefault="007F0286">
      <w:pPr>
        <w:pStyle w:val="a7"/>
        <w:ind w:firstLine="709"/>
        <w:rPr>
          <w:sz w:val="24"/>
        </w:rPr>
      </w:pPr>
    </w:p>
    <w:p w:rsidR="007F0286" w:rsidRDefault="007F0286">
      <w:pPr>
        <w:pStyle w:val="1"/>
      </w:pPr>
      <w:bookmarkStart w:id="1" w:name="_Toc500860631"/>
      <w:r>
        <w:t xml:space="preserve">Глава </w:t>
      </w:r>
      <w:r>
        <w:rPr>
          <w:lang w:val="en-US"/>
        </w:rPr>
        <w:t>I</w:t>
      </w:r>
      <w:r>
        <w:t>. Центральные банки и денежно-кредитная                    политика.</w:t>
      </w:r>
      <w:bookmarkEnd w:id="1"/>
    </w:p>
    <w:p w:rsidR="007F0286" w:rsidRDefault="007F0286">
      <w:pPr>
        <w:pStyle w:val="ab"/>
      </w:pPr>
      <w:r>
        <w:t xml:space="preserve"> </w:t>
      </w:r>
    </w:p>
    <w:p w:rsidR="007F0286" w:rsidRDefault="007F0286">
      <w:pPr>
        <w:pStyle w:val="2"/>
        <w:rPr>
          <w:sz w:val="24"/>
        </w:rPr>
      </w:pPr>
      <w:bookmarkStart w:id="2" w:name="_Toc500860632"/>
      <w:r>
        <w:rPr>
          <w:sz w:val="24"/>
        </w:rPr>
        <w:t>- Понятие центрального банка.</w:t>
      </w:r>
      <w:bookmarkEnd w:id="2"/>
      <w:r>
        <w:rPr>
          <w:sz w:val="24"/>
        </w:rPr>
        <w:t xml:space="preserve">  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Первые ЦБ возникли 300 лет назад (Шведский Риксбанк в 1668 г.), но повсеместное распространение и современное значение они приобрели только в последние десятилетия. Следовательно, нужно начать с определения банка.</w:t>
      </w:r>
    </w:p>
    <w:p w:rsidR="007F0286" w:rsidRDefault="007F0286">
      <w:pPr>
        <w:spacing w:line="360" w:lineRule="auto"/>
        <w:ind w:firstLine="709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  <w:u w:val="single"/>
        </w:rPr>
        <w:t>Банк</w:t>
      </w:r>
      <w:r>
        <w:rPr>
          <w:rFonts w:ascii="Bookman Old Style" w:hAnsi="Bookman Old Style"/>
          <w:sz w:val="24"/>
        </w:rPr>
        <w:t xml:space="preserve"> – это организация, созданная для привлечения денежных средств и размещения их от своего имени на условиях возвратности, платности и срочности.</w:t>
      </w:r>
      <w:r>
        <w:rPr>
          <w:rStyle w:val="a4"/>
          <w:rFonts w:ascii="Bookman Old Style" w:hAnsi="Bookman Old Style"/>
          <w:sz w:val="24"/>
        </w:rPr>
        <w:footnoteReference w:id="1"/>
      </w:r>
      <w:r>
        <w:rPr>
          <w:rFonts w:ascii="Bookman Old Style" w:hAnsi="Bookman Old Style"/>
          <w:sz w:val="24"/>
        </w:rPr>
        <w:t xml:space="preserve"> Основное назначение банка – посредничество в перемещении денежных средств от кредиторов к заемщикам и от продавцов к покупателям.</w:t>
      </w:r>
    </w:p>
    <w:p w:rsidR="007F0286" w:rsidRDefault="007F0286">
      <w:pPr>
        <w:spacing w:line="360" w:lineRule="auto"/>
        <w:ind w:firstLine="709"/>
        <w:rPr>
          <w:rFonts w:ascii="Bookman Old Style" w:hAnsi="Bookman Old Style"/>
          <w:sz w:val="24"/>
          <w:vertAlign w:val="superscript"/>
        </w:rPr>
      </w:pPr>
      <w:r>
        <w:rPr>
          <w:rFonts w:ascii="Bookman Old Style" w:hAnsi="Bookman Old Style"/>
          <w:sz w:val="24"/>
          <w:u w:val="single"/>
        </w:rPr>
        <w:t>Банковская система</w:t>
      </w:r>
      <w:r>
        <w:rPr>
          <w:rFonts w:ascii="Bookman Old Style" w:hAnsi="Bookman Old Style"/>
          <w:sz w:val="24"/>
        </w:rPr>
        <w:t xml:space="preserve"> - совокупность различных видов национальных банков и кредитных учреждений, действующих в рамках общего денежно-кредитного механизма. Она включает Центральный банк, сеть коммерческих банков и других кредитно-расчетных центров. Центральный банк проводит государственную эмиссионную и валютную политику, является ядром резервной системы. Коммерческие банки осуществляют все виды банковских операций.</w:t>
      </w:r>
    </w:p>
    <w:p w:rsidR="007F0286" w:rsidRDefault="007F0286">
      <w:pPr>
        <w:spacing w:line="360" w:lineRule="auto"/>
        <w:ind w:firstLine="709"/>
        <w:rPr>
          <w:rFonts w:ascii="Bookman Old Style" w:hAnsi="Bookman Old Style"/>
          <w:sz w:val="24"/>
          <w:vertAlign w:val="superscript"/>
        </w:rPr>
      </w:pPr>
      <w:r>
        <w:rPr>
          <w:rFonts w:ascii="Bookman Old Style" w:hAnsi="Bookman Old Style"/>
          <w:sz w:val="24"/>
        </w:rPr>
        <w:t>В странах с развитой рыночной экономикой сложились двухуровневые банковские системы. Верхний уровень системы представлен центральным (эмиссионным) банком. На нижнем уровне действуют коммерческие банки и небанковские кредитно-финансовые институты (инвестиционные компании, инвестиционные фонды, страховые компании, пенсионные фонды, ломбарды, трастовые компании и др.).</w:t>
      </w:r>
      <w:r>
        <w:rPr>
          <w:rFonts w:ascii="Bookman Old Style" w:hAnsi="Bookman Old Style"/>
          <w:sz w:val="24"/>
          <w:vertAlign w:val="superscript"/>
        </w:rPr>
        <w:t xml:space="preserve"> </w:t>
      </w:r>
    </w:p>
    <w:p w:rsidR="007F0286" w:rsidRDefault="007F0286">
      <w:pPr>
        <w:spacing w:line="360" w:lineRule="auto"/>
        <w:ind w:firstLine="709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Центральный (эмиссионный) банк в большинстве стран принадлежит государству. Но даже если государство формально не владеет его капиталом (США, Италия, Швейцария) или владеет частично (Бельгия - 50%, Япония -55%), центральный банк выполняет функции государственного органа. Центральный банк обладает монопольным правом на выпуск в обращение (эмиссию) банкнот - основной составляющей налично-денежной массы. Он хранит официальные золотовалютные резервы, проводит государственную политику, регулируя денежно-кредитную сферу и валютные отношения. Центральный банк участвует в управлении государственным долгом и осуществляет кассово-расчетное обслуживание бюджета государства.</w:t>
      </w:r>
    </w:p>
    <w:p w:rsidR="007F0286" w:rsidRDefault="007F0286">
      <w:pPr>
        <w:spacing w:line="360" w:lineRule="auto"/>
        <w:ind w:firstLine="709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По своему положению в кредитной системе центральный банк играет роль «банка банков», т. е. хранит обязательные резервы и свободные средства коммерческих банков и других учреждений, предоставляет им ссуды, выступает в качестве «кредитора последней инстанции», организует национальную систему взаимозачетов денежных обязательств либо непосредственно через свои отделения, либо через специальные расчетные палаты. 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 xml:space="preserve">Банки, имеющие право выпуска кредитных денег в форме наличных банкнот и в форме записей на счетах и служащие важным ресурсом для совершения кредитных операций, называются </w:t>
      </w:r>
      <w:r>
        <w:rPr>
          <w:iCs/>
          <w:sz w:val="24"/>
          <w:u w:val="single"/>
        </w:rPr>
        <w:t>эмиссионными</w:t>
      </w:r>
      <w:r>
        <w:rPr>
          <w:iCs/>
          <w:sz w:val="24"/>
        </w:rPr>
        <w:t>.</w:t>
      </w:r>
      <w:r>
        <w:rPr>
          <w:rStyle w:val="a4"/>
          <w:rFonts w:ascii="Bookman Old Style" w:hAnsi="Bookman Old Style"/>
          <w:iCs/>
          <w:sz w:val="24"/>
        </w:rPr>
        <w:footnoteReference w:id="2"/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 xml:space="preserve">В Англии роль такого банка выполняет Английский Банк, во Франции – Французский Банк, в США – 12 федеральных резервных банков, входящих в единую федеральную резервную систему США (Fed). 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В связи с расширением функций эмиссионных банков, в теории и на практике стало употребляться понятие центральный банк.</w:t>
      </w:r>
    </w:p>
    <w:p w:rsidR="007F0286" w:rsidRDefault="007F0286">
      <w:pPr>
        <w:pStyle w:val="a7"/>
        <w:rPr>
          <w:sz w:val="24"/>
        </w:rPr>
      </w:pPr>
    </w:p>
    <w:p w:rsidR="007F0286" w:rsidRDefault="007F0286">
      <w:pPr>
        <w:pStyle w:val="2"/>
        <w:rPr>
          <w:sz w:val="24"/>
        </w:rPr>
      </w:pPr>
      <w:bookmarkStart w:id="3" w:name="_Toc451272974"/>
      <w:bookmarkStart w:id="4" w:name="_Toc500860633"/>
      <w:r>
        <w:rPr>
          <w:sz w:val="24"/>
        </w:rPr>
        <w:t>- Функции центрального банка:</w:t>
      </w:r>
      <w:bookmarkEnd w:id="3"/>
      <w:bookmarkEnd w:id="4"/>
    </w:p>
    <w:p w:rsidR="007F0286" w:rsidRDefault="007F0286">
      <w:pPr>
        <w:pStyle w:val="a7"/>
        <w:numPr>
          <w:ilvl w:val="0"/>
          <w:numId w:val="6"/>
        </w:numPr>
        <w:rPr>
          <w:sz w:val="24"/>
        </w:rPr>
      </w:pPr>
      <w:r>
        <w:rPr>
          <w:sz w:val="24"/>
        </w:rPr>
        <w:t>Денежно-кредитное регулирование экономики;</w:t>
      </w:r>
    </w:p>
    <w:p w:rsidR="007F0286" w:rsidRDefault="007F0286">
      <w:pPr>
        <w:pStyle w:val="a7"/>
        <w:numPr>
          <w:ilvl w:val="0"/>
          <w:numId w:val="6"/>
        </w:numPr>
        <w:rPr>
          <w:sz w:val="24"/>
        </w:rPr>
      </w:pPr>
      <w:r>
        <w:rPr>
          <w:sz w:val="24"/>
        </w:rPr>
        <w:t>Эмиссия кредитных денег – банкнот;</w:t>
      </w:r>
    </w:p>
    <w:p w:rsidR="007F0286" w:rsidRDefault="007F0286">
      <w:pPr>
        <w:pStyle w:val="a7"/>
        <w:numPr>
          <w:ilvl w:val="0"/>
          <w:numId w:val="6"/>
        </w:numPr>
        <w:rPr>
          <w:sz w:val="24"/>
        </w:rPr>
      </w:pPr>
      <w:r>
        <w:rPr>
          <w:sz w:val="24"/>
        </w:rPr>
        <w:t>Контроль за деятельностью кредитных учреждений;</w:t>
      </w:r>
    </w:p>
    <w:p w:rsidR="007F0286" w:rsidRDefault="007F0286">
      <w:pPr>
        <w:pStyle w:val="a7"/>
        <w:numPr>
          <w:ilvl w:val="0"/>
          <w:numId w:val="6"/>
        </w:numPr>
        <w:rPr>
          <w:sz w:val="24"/>
        </w:rPr>
      </w:pPr>
      <w:r>
        <w:rPr>
          <w:sz w:val="24"/>
        </w:rPr>
        <w:t>Аккумуляция и хранение кассовых резервов других кредитных учреждений;</w:t>
      </w:r>
    </w:p>
    <w:p w:rsidR="007F0286" w:rsidRDefault="007F0286">
      <w:pPr>
        <w:pStyle w:val="a7"/>
        <w:numPr>
          <w:ilvl w:val="0"/>
          <w:numId w:val="6"/>
        </w:numPr>
        <w:rPr>
          <w:sz w:val="24"/>
        </w:rPr>
      </w:pPr>
      <w:r>
        <w:rPr>
          <w:sz w:val="24"/>
        </w:rPr>
        <w:t>Кредитование коммерческих банков (рефинансирование);</w:t>
      </w:r>
    </w:p>
    <w:p w:rsidR="007F0286" w:rsidRDefault="007F0286">
      <w:pPr>
        <w:pStyle w:val="a7"/>
        <w:numPr>
          <w:ilvl w:val="0"/>
          <w:numId w:val="6"/>
        </w:numPr>
        <w:rPr>
          <w:sz w:val="24"/>
        </w:rPr>
      </w:pPr>
      <w:r>
        <w:rPr>
          <w:sz w:val="24"/>
        </w:rPr>
        <w:t>Кредитно-расчетное обслуживание правительства (например, обслуживание облигаций государственного займа, эмиссионно-кассовое исполнение государственного бюджета);</w:t>
      </w:r>
    </w:p>
    <w:p w:rsidR="007F0286" w:rsidRDefault="007F0286">
      <w:pPr>
        <w:pStyle w:val="a7"/>
        <w:numPr>
          <w:ilvl w:val="0"/>
          <w:numId w:val="6"/>
        </w:numPr>
        <w:rPr>
          <w:sz w:val="24"/>
        </w:rPr>
      </w:pPr>
      <w:r>
        <w:rPr>
          <w:sz w:val="24"/>
        </w:rPr>
        <w:t>Хранение официальных золотовалютных резервов.</w:t>
      </w:r>
    </w:p>
    <w:p w:rsidR="007F0286" w:rsidRDefault="007F0286">
      <w:pPr>
        <w:pStyle w:val="a7"/>
        <w:ind w:firstLine="709"/>
        <w:rPr>
          <w:sz w:val="24"/>
          <w:lang w:val="en-US"/>
        </w:rPr>
      </w:pPr>
      <w:r>
        <w:rPr>
          <w:sz w:val="24"/>
        </w:rPr>
        <w:t>Конечно, главной функцией центрального банка является кредитное регулирование. Помимо административных методов (установления прямых ограничений на деятельность коммерческих банков, проведения инспекций и ревизий, издания инструкций, сбора и обобщения отчетности и т. д.), центральные банки располагают и экономическим инструментарием для регулирования банковской сферы. Его основными составляющими являются: политика минимальных резервов, открытого рынка и учетная политика.</w:t>
      </w:r>
    </w:p>
    <w:p w:rsidR="007F0286" w:rsidRDefault="007F0286">
      <w:pPr>
        <w:pStyle w:val="a7"/>
        <w:ind w:firstLine="709"/>
        <w:rPr>
          <w:sz w:val="24"/>
          <w:lang w:val="en-US"/>
        </w:rPr>
      </w:pPr>
    </w:p>
    <w:p w:rsidR="007F0286" w:rsidRDefault="007F0286">
      <w:pPr>
        <w:pStyle w:val="2"/>
        <w:rPr>
          <w:sz w:val="24"/>
        </w:rPr>
      </w:pPr>
      <w:bookmarkStart w:id="5" w:name="_Toc500860634"/>
      <w:r>
        <w:rPr>
          <w:sz w:val="24"/>
        </w:rPr>
        <w:t>- Денежно-кредитная политика.</w:t>
      </w:r>
      <w:bookmarkEnd w:id="5"/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Денежно-кредитная политика, основным проводником которой, как правило, является ЦБ, направлена главным образом на воздействие на валютный курс, процентные ставки и на общий объем ликвидности банковской системы и, следовательно, экономики. Достижение этих задач преследует цель стабильности экономического роста, низкой безработицы и инфляции.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Чаще всего денежно-кредитная политика представляет собой один из элементов всей экономической политики и прямо определяется приоритетами правительства. Взаимоотношения ЦБ и правительства в проведении денежно-кредитной политики обычно четко определены. Правительство ограничено в своих действиях и обычно не вмешивается в повседневную деятельность банка, согласовывая лишь общую макроэкономическую политику. Различают «узкую» и «широкую» денежно-кредитную политику. Под узкой политикой имеют в виду достижение оптимального валютного курса с помощью инвестиций на валютном рынке, учетной политики и других инструментов, влияющих на краткосрочные процентные ставки. Широкая политика направлена на борьбу с инфляцией через воздействие на денежную массу в обращении. С помощью прямых и косвенных методов кредитного контроля регулируется ликвидность банковской системы и долгосрочные процентные ставки. Денежно-кредитная политика должна быть четко увязана с бюджетом и налоговой политикой и, соответственно, финансированием госбюджета.</w:t>
      </w:r>
    </w:p>
    <w:p w:rsidR="007F0286" w:rsidRDefault="007F0286">
      <w:pPr>
        <w:pStyle w:val="a7"/>
        <w:rPr>
          <w:sz w:val="24"/>
        </w:rPr>
      </w:pPr>
    </w:p>
    <w:p w:rsidR="007F0286" w:rsidRDefault="007F0286">
      <w:pPr>
        <w:pStyle w:val="a7"/>
        <w:ind w:firstLine="0"/>
        <w:rPr>
          <w:sz w:val="24"/>
          <w:u w:val="single"/>
        </w:rPr>
      </w:pPr>
      <w:r>
        <w:rPr>
          <w:sz w:val="24"/>
          <w:u w:val="single"/>
        </w:rPr>
        <w:t>Основные инструменты денежно-кредитной политики:</w:t>
      </w:r>
      <w:r>
        <w:rPr>
          <w:rStyle w:val="a4"/>
          <w:rFonts w:ascii="Bookman Old Style" w:hAnsi="Bookman Old Style"/>
          <w:sz w:val="24"/>
          <w:u w:val="single"/>
        </w:rPr>
        <w:footnoteReference w:id="3"/>
      </w:r>
    </w:p>
    <w:p w:rsidR="007F0286" w:rsidRDefault="007F0286">
      <w:pPr>
        <w:pStyle w:val="a7"/>
        <w:numPr>
          <w:ilvl w:val="0"/>
          <w:numId w:val="7"/>
        </w:numPr>
        <w:rPr>
          <w:sz w:val="24"/>
          <w:u w:val="single"/>
        </w:rPr>
      </w:pPr>
      <w:r>
        <w:rPr>
          <w:b/>
          <w:bCs/>
          <w:i/>
          <w:sz w:val="24"/>
        </w:rPr>
        <w:t>Официальная учетная ставка</w:t>
      </w:r>
      <w:r>
        <w:rPr>
          <w:i/>
          <w:sz w:val="24"/>
        </w:rPr>
        <w:t xml:space="preserve"> – </w:t>
      </w:r>
      <w:r>
        <w:rPr>
          <w:sz w:val="24"/>
        </w:rPr>
        <w:t>относительно редко изменяемая ставка ЦБ, по которой он готов учитывать векселя или предоставлять кредиты другим банкам в качестве кредитора последней инстанции.</w:t>
      </w:r>
    </w:p>
    <w:p w:rsidR="007F0286" w:rsidRDefault="007F0286">
      <w:pPr>
        <w:pStyle w:val="a7"/>
        <w:numPr>
          <w:ilvl w:val="0"/>
          <w:numId w:val="7"/>
        </w:numPr>
        <w:rPr>
          <w:sz w:val="24"/>
          <w:u w:val="single"/>
        </w:rPr>
      </w:pPr>
      <w:r>
        <w:rPr>
          <w:b/>
          <w:bCs/>
          <w:i/>
          <w:sz w:val="24"/>
        </w:rPr>
        <w:t>Обязательные резервы</w:t>
      </w:r>
      <w:r>
        <w:rPr>
          <w:i/>
          <w:sz w:val="24"/>
        </w:rPr>
        <w:t xml:space="preserve"> – </w:t>
      </w:r>
      <w:r>
        <w:rPr>
          <w:sz w:val="24"/>
        </w:rPr>
        <w:t>часть ресурсов банков, внесенных по требованию властей на беспроцентный счет в ЦБ.</w:t>
      </w:r>
    </w:p>
    <w:p w:rsidR="007F0286" w:rsidRDefault="007F0286">
      <w:pPr>
        <w:pStyle w:val="a7"/>
        <w:numPr>
          <w:ilvl w:val="0"/>
          <w:numId w:val="7"/>
        </w:numPr>
        <w:rPr>
          <w:sz w:val="24"/>
          <w:u w:val="single"/>
        </w:rPr>
      </w:pPr>
      <w:r>
        <w:rPr>
          <w:b/>
          <w:bCs/>
          <w:i/>
          <w:sz w:val="24"/>
        </w:rPr>
        <w:t>Операции на открытом рынке</w:t>
      </w:r>
      <w:r>
        <w:rPr>
          <w:i/>
          <w:sz w:val="24"/>
        </w:rPr>
        <w:t>.</w:t>
      </w:r>
    </w:p>
    <w:p w:rsidR="007F0286" w:rsidRDefault="007F0286">
      <w:pPr>
        <w:pStyle w:val="a7"/>
        <w:numPr>
          <w:ilvl w:val="0"/>
          <w:numId w:val="7"/>
        </w:numPr>
        <w:rPr>
          <w:sz w:val="24"/>
          <w:u w:val="single"/>
        </w:rPr>
      </w:pPr>
      <w:r>
        <w:rPr>
          <w:b/>
          <w:bCs/>
          <w:i/>
          <w:sz w:val="24"/>
        </w:rPr>
        <w:t>Валютные интервенции</w:t>
      </w:r>
      <w:r>
        <w:rPr>
          <w:i/>
          <w:sz w:val="24"/>
        </w:rPr>
        <w:t xml:space="preserve"> –</w:t>
      </w:r>
      <w:r>
        <w:rPr>
          <w:sz w:val="24"/>
        </w:rPr>
        <w:t xml:space="preserve"> вмешательство центрального банка на валютном рынке</w:t>
      </w:r>
      <w:r>
        <w:rPr>
          <w:rStyle w:val="a4"/>
          <w:sz w:val="24"/>
        </w:rPr>
        <w:footnoteReference w:id="4"/>
      </w:r>
      <w:r>
        <w:rPr>
          <w:sz w:val="24"/>
        </w:rPr>
        <w:t>, то есть, купля-продажа валюты для воздействия на курс и, следовательно, на спрос и предложение денежной единицы.</w:t>
      </w:r>
    </w:p>
    <w:p w:rsidR="007F0286" w:rsidRDefault="007F0286">
      <w:pPr>
        <w:pStyle w:val="a7"/>
        <w:numPr>
          <w:ilvl w:val="0"/>
          <w:numId w:val="7"/>
        </w:numPr>
        <w:rPr>
          <w:sz w:val="24"/>
          <w:u w:val="single"/>
        </w:rPr>
      </w:pPr>
      <w:r>
        <w:rPr>
          <w:i/>
          <w:sz w:val="24"/>
        </w:rPr>
        <w:t xml:space="preserve">Моральное воздействие – </w:t>
      </w:r>
      <w:r>
        <w:rPr>
          <w:sz w:val="24"/>
        </w:rPr>
        <w:t>рекомендации, заявления, собеседования, играющие важную роль в денежно-кредитной политике многих развитых стран.</w:t>
      </w:r>
    </w:p>
    <w:p w:rsidR="007F0286" w:rsidRDefault="007F0286">
      <w:pPr>
        <w:pStyle w:val="a7"/>
        <w:numPr>
          <w:ilvl w:val="0"/>
          <w:numId w:val="7"/>
        </w:numPr>
        <w:rPr>
          <w:sz w:val="24"/>
          <w:u w:val="single"/>
        </w:rPr>
      </w:pPr>
      <w:r>
        <w:rPr>
          <w:i/>
          <w:sz w:val="24"/>
        </w:rPr>
        <w:t xml:space="preserve">Разумный банковский надзор – </w:t>
      </w:r>
      <w:r>
        <w:rPr>
          <w:sz w:val="24"/>
        </w:rPr>
        <w:t>различные методы контроля за функционированием банков с точки зрения обеспечения их безопасности на основе сбора информации, требования соблюдения определенных коэффициентов.</w:t>
      </w:r>
    </w:p>
    <w:p w:rsidR="007F0286" w:rsidRDefault="007F0286">
      <w:pPr>
        <w:pStyle w:val="a7"/>
        <w:numPr>
          <w:ilvl w:val="0"/>
          <w:numId w:val="7"/>
        </w:numPr>
        <w:rPr>
          <w:sz w:val="24"/>
          <w:u w:val="single"/>
        </w:rPr>
      </w:pPr>
      <w:r>
        <w:rPr>
          <w:i/>
          <w:sz w:val="24"/>
        </w:rPr>
        <w:t xml:space="preserve">Контроль за рынком капиталов – </w:t>
      </w:r>
      <w:r>
        <w:rPr>
          <w:sz w:val="24"/>
        </w:rPr>
        <w:t>порядок выпуска акций и облигаций, квоты выпуска, очередность эмиссии и т. д.</w:t>
      </w:r>
    </w:p>
    <w:p w:rsidR="007F0286" w:rsidRDefault="007F0286">
      <w:pPr>
        <w:pStyle w:val="a7"/>
        <w:numPr>
          <w:ilvl w:val="0"/>
          <w:numId w:val="7"/>
        </w:numPr>
        <w:rPr>
          <w:sz w:val="24"/>
          <w:u w:val="single"/>
        </w:rPr>
      </w:pPr>
      <w:r>
        <w:rPr>
          <w:i/>
          <w:sz w:val="24"/>
        </w:rPr>
        <w:t>Допуск к рынкам –</w:t>
      </w:r>
      <w:r>
        <w:rPr>
          <w:sz w:val="24"/>
        </w:rPr>
        <w:t xml:space="preserve"> регулирование открытия новых банков, разрешение операций иностранным банковским учреждениям.</w:t>
      </w:r>
    </w:p>
    <w:p w:rsidR="007F0286" w:rsidRDefault="007F0286">
      <w:pPr>
        <w:pStyle w:val="a7"/>
        <w:numPr>
          <w:ilvl w:val="0"/>
          <w:numId w:val="7"/>
        </w:numPr>
        <w:rPr>
          <w:sz w:val="24"/>
          <w:u w:val="single"/>
        </w:rPr>
      </w:pPr>
      <w:r>
        <w:rPr>
          <w:i/>
          <w:sz w:val="24"/>
        </w:rPr>
        <w:t>Специальные депозиты –</w:t>
      </w:r>
      <w:r>
        <w:rPr>
          <w:sz w:val="24"/>
        </w:rPr>
        <w:t xml:space="preserve"> часть прироста депозитов или кредитов коммерческих банков, изъятая на беспроцентные счета в ЦБ.</w:t>
      </w:r>
    </w:p>
    <w:p w:rsidR="007F0286" w:rsidRDefault="007F0286">
      <w:pPr>
        <w:pStyle w:val="a7"/>
        <w:numPr>
          <w:ilvl w:val="0"/>
          <w:numId w:val="7"/>
        </w:numPr>
        <w:rPr>
          <w:sz w:val="24"/>
          <w:u w:val="single"/>
        </w:rPr>
      </w:pPr>
      <w:r>
        <w:rPr>
          <w:i/>
          <w:sz w:val="24"/>
        </w:rPr>
        <w:t>Количественные ограничения –</w:t>
      </w:r>
      <w:r>
        <w:rPr>
          <w:sz w:val="24"/>
        </w:rPr>
        <w:t xml:space="preserve"> потолки ставок, прямое ограничение кредитования, периодическое «замораживание» процентных ставок.</w:t>
      </w:r>
    </w:p>
    <w:p w:rsidR="007F0286" w:rsidRDefault="007F0286">
      <w:pPr>
        <w:pStyle w:val="a7"/>
        <w:numPr>
          <w:ilvl w:val="0"/>
          <w:numId w:val="7"/>
        </w:numPr>
        <w:rPr>
          <w:sz w:val="24"/>
          <w:u w:val="single"/>
        </w:rPr>
      </w:pPr>
      <w:r>
        <w:rPr>
          <w:i/>
          <w:sz w:val="24"/>
        </w:rPr>
        <w:t>Управление государственным долгом –</w:t>
      </w:r>
      <w:r>
        <w:rPr>
          <w:sz w:val="24"/>
        </w:rPr>
        <w:t xml:space="preserve"> эмиссия государственных облигаций нейтрализует ликвидность банков и связывает их средства.</w:t>
      </w:r>
    </w:p>
    <w:p w:rsidR="007F0286" w:rsidRDefault="007F0286">
      <w:pPr>
        <w:pStyle w:val="a7"/>
        <w:numPr>
          <w:ilvl w:val="0"/>
          <w:numId w:val="7"/>
        </w:numPr>
        <w:rPr>
          <w:sz w:val="24"/>
          <w:u w:val="single"/>
        </w:rPr>
      </w:pPr>
      <w:r>
        <w:rPr>
          <w:i/>
          <w:sz w:val="24"/>
        </w:rPr>
        <w:t>Таргетирование –</w:t>
      </w:r>
      <w:r>
        <w:rPr>
          <w:sz w:val="24"/>
        </w:rPr>
        <w:t xml:space="preserve"> установление целевых ориентиров роста одного или нескольких показателей денежной массы.</w:t>
      </w:r>
    </w:p>
    <w:p w:rsidR="007F0286" w:rsidRDefault="007F0286">
      <w:pPr>
        <w:pStyle w:val="a7"/>
        <w:numPr>
          <w:ilvl w:val="0"/>
          <w:numId w:val="7"/>
        </w:numPr>
        <w:rPr>
          <w:sz w:val="24"/>
          <w:u w:val="single"/>
        </w:rPr>
      </w:pPr>
      <w:r>
        <w:rPr>
          <w:i/>
          <w:sz w:val="24"/>
        </w:rPr>
        <w:t xml:space="preserve">Регулирование фондовых и фьючерских операций </w:t>
      </w:r>
      <w:r>
        <w:rPr>
          <w:sz w:val="24"/>
        </w:rPr>
        <w:t>путем установления обязательной маржи.</w:t>
      </w:r>
    </w:p>
    <w:p w:rsidR="007F0286" w:rsidRDefault="007F0286">
      <w:pPr>
        <w:pStyle w:val="a7"/>
        <w:numPr>
          <w:ilvl w:val="0"/>
          <w:numId w:val="7"/>
        </w:numPr>
        <w:rPr>
          <w:sz w:val="24"/>
          <w:u w:val="single"/>
        </w:rPr>
      </w:pPr>
      <w:r>
        <w:rPr>
          <w:i/>
          <w:sz w:val="24"/>
        </w:rPr>
        <w:t xml:space="preserve">Нормы обязательного инвестирования </w:t>
      </w:r>
      <w:r>
        <w:rPr>
          <w:sz w:val="24"/>
        </w:rPr>
        <w:t>в государственные ценные бумаги для банков и инвестиционных институтов.</w:t>
      </w:r>
    </w:p>
    <w:p w:rsidR="007F0286" w:rsidRDefault="007F0286">
      <w:pPr>
        <w:pStyle w:val="a7"/>
        <w:rPr>
          <w:sz w:val="24"/>
        </w:rPr>
      </w:pP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  <w:u w:val="single"/>
        </w:rPr>
        <w:t>Политика минимальных резервов</w:t>
      </w:r>
      <w:r>
        <w:rPr>
          <w:sz w:val="24"/>
        </w:rPr>
        <w:t xml:space="preserve"> впервые была опробована в США в 30-е годы, и сразу после второй мировой войны ее внедрили в практику центральные банки всех ведущих капиталистических стран. Минимальные резервы - это вклады коммерческих банков в центральном банке, размер которых устанавливается законодательством в определенном отношении к банковским обязательствам. Первоначально практика резервирования средств предназначалась для страхования коммерческих банков. ЦБ берет на себя функцию аккумулирования минимального резерва, который не подлежит кредитованию. 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Другая функция подобного резервирования заключается в том, что, изменяя процент резерва, ЦБ влияет на сумму свободных денежных средств коммерческих банков. В период бума для его «охлаждения» ЦБ повышает норму резерва, а в период кризиса - наоборот. Повышение нормы резерва на 1 - 2 процентных пункта - действенное средство ограничения кредитной экспансии. Как правило, норма минимальных резервов дифференцируется. Например, в США в 1972 - 1976 гг. она варьировалась в зависимости от конъюнктуры, вида и величины вкладов от 1 до 17,5%.</w:t>
      </w:r>
      <w:r>
        <w:rPr>
          <w:rStyle w:val="a4"/>
          <w:rFonts w:ascii="Bookman Old Style" w:hAnsi="Bookman Old Style"/>
          <w:sz w:val="24"/>
        </w:rPr>
        <w:footnoteReference w:id="5"/>
      </w:r>
      <w:r>
        <w:rPr>
          <w:sz w:val="24"/>
        </w:rPr>
        <w:t xml:space="preserve"> </w:t>
      </w:r>
    </w:p>
    <w:p w:rsidR="007F0286" w:rsidRDefault="007F0286">
      <w:pPr>
        <w:pStyle w:val="a7"/>
        <w:ind w:firstLine="709"/>
        <w:rPr>
          <w:sz w:val="24"/>
          <w:u w:val="single"/>
        </w:rPr>
      </w:pP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  <w:u w:val="single"/>
        </w:rPr>
        <w:t>Операции на открытом рынке</w:t>
      </w:r>
      <w:r>
        <w:rPr>
          <w:sz w:val="24"/>
        </w:rPr>
        <w:t xml:space="preserve"> – покупка и продажа государственных ценных бумаг с целью увеличения или уменьшения средств коммерческих банков. Путем изменения объема купли-продажи ценных бумаг и уровня цен, по которым они продаются или покупаются, центральный банк может осуществлять гибкое и быстрое воздействие на кредитную активность коммерческих банков.</w:t>
      </w:r>
    </w:p>
    <w:p w:rsidR="007F0286" w:rsidRDefault="007F0286">
      <w:pPr>
        <w:pStyle w:val="a7"/>
        <w:ind w:firstLine="709"/>
        <w:rPr>
          <w:sz w:val="24"/>
          <w:u w:val="single"/>
        </w:rPr>
      </w:pP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  <w:u w:val="single"/>
        </w:rPr>
        <w:t>Девизные операции (валютные интервенции)</w:t>
      </w:r>
      <w:r>
        <w:rPr>
          <w:sz w:val="24"/>
        </w:rPr>
        <w:t xml:space="preserve"> – это покупка и продажа иностранной валюты для поддержания в определенных пределах курса национальной денежной единицы.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За последние десятилетия взгляды экономистов на валютные интервенции претерпели существенные изменения. Администрация президента США Р. Рейгана считала их дорогими и неэффективными инструментами денежно-кредитной политики. В Европе же после образования так называемого механизма обменных курсов в 1979 г. центральные банки активно использовали валютные интервенции.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Существует три альтернативных критерия определения эффективности валютных интервенций.</w:t>
      </w:r>
    </w:p>
    <w:p w:rsidR="007F0286" w:rsidRDefault="007F0286">
      <w:pPr>
        <w:pStyle w:val="a7"/>
        <w:numPr>
          <w:ilvl w:val="0"/>
          <w:numId w:val="31"/>
        </w:numPr>
        <w:rPr>
          <w:sz w:val="24"/>
        </w:rPr>
      </w:pPr>
      <w:r>
        <w:rPr>
          <w:sz w:val="24"/>
        </w:rPr>
        <w:t>«Направление» - если направление движения валютного курса совпадает с направлением интервенции, то она эффективна. Иными словами, если центральный банк продает или покупает валюту, то ее курс должен, соответственно, понижаться или повышаться.</w:t>
      </w:r>
    </w:p>
    <w:p w:rsidR="007F0286" w:rsidRDefault="007F0286">
      <w:pPr>
        <w:pStyle w:val="a7"/>
        <w:numPr>
          <w:ilvl w:val="0"/>
          <w:numId w:val="31"/>
        </w:numPr>
        <w:rPr>
          <w:sz w:val="24"/>
        </w:rPr>
      </w:pPr>
      <w:r>
        <w:rPr>
          <w:sz w:val="24"/>
        </w:rPr>
        <w:t>«Сглаживание» - интервенция эффективна, когда усилиями ЦБ замедляется развитие тренда. Если курс падает, то интервенция должна приводить к плавному падению, а если увеличивается – то к торможению роста.</w:t>
      </w:r>
    </w:p>
    <w:p w:rsidR="007F0286" w:rsidRDefault="007F0286">
      <w:pPr>
        <w:pStyle w:val="a7"/>
        <w:numPr>
          <w:ilvl w:val="0"/>
          <w:numId w:val="31"/>
        </w:numPr>
        <w:rPr>
          <w:sz w:val="24"/>
        </w:rPr>
      </w:pPr>
      <w:r>
        <w:rPr>
          <w:sz w:val="24"/>
        </w:rPr>
        <w:t>«Разворот» - интервенция эффективна, когда выполняется не только первый критерий, но и в ходе интервенции полностью нивелируется колебание валютного курса за предыдущий период. Происходит разворот тренда или центральный банк «гребет против течения».</w:t>
      </w:r>
      <w:r>
        <w:rPr>
          <w:rStyle w:val="a4"/>
          <w:sz w:val="24"/>
        </w:rPr>
        <w:footnoteReference w:id="6"/>
      </w:r>
    </w:p>
    <w:p w:rsidR="007F0286" w:rsidRDefault="007F0286">
      <w:pPr>
        <w:pStyle w:val="a7"/>
        <w:ind w:firstLine="709"/>
        <w:rPr>
          <w:sz w:val="24"/>
        </w:rPr>
      </w:pP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 xml:space="preserve">Еще одним классическим инструментом в практике центральных банков является </w:t>
      </w:r>
      <w:r>
        <w:rPr>
          <w:sz w:val="24"/>
          <w:u w:val="single"/>
        </w:rPr>
        <w:t>политика учетной ставки</w:t>
      </w:r>
      <w:r>
        <w:rPr>
          <w:sz w:val="24"/>
        </w:rPr>
        <w:t>, т.е. установление ставки процента за кредиты, которые центральный банк предоставляет коммерческим банкам (ставки рефинансирования). Коммерческие банки предоставляют ЦБ платежные обязательства - векселя. Это могут быть как собственные векселя банков, так и обязательства третьих лиц, имеющиеся в банках. ЦБ покупает, учитывает эти векселя, удерживая при этом определенный процент в свою пользу. Средства, полученные от ЦБ, предоставляются заемщикам коммерческих банков. Цена этого кредита - процентная ставка - должна быть выше учетной, иначе коммерческие банки будут убыточны. Поэтому, если ЦБ повышает учетную ставку, это приводит к удорожанию кредита для клиентов коммерческих банков. Это, в свою очередь, способствует уменьшению займов и, следовательно, снижению инвестиций. Таким образом, манипулируя учетной ставкой, ЦБ имеет возможность влиять на капиталовложения в производство.</w:t>
      </w:r>
    </w:p>
    <w:p w:rsidR="007F0286" w:rsidRDefault="007F0286">
      <w:pPr>
        <w:pStyle w:val="a7"/>
        <w:ind w:firstLine="709"/>
        <w:rPr>
          <w:sz w:val="24"/>
        </w:rPr>
      </w:pPr>
    </w:p>
    <w:p w:rsidR="007F0286" w:rsidRDefault="007F0286">
      <w:pPr>
        <w:pStyle w:val="2"/>
      </w:pPr>
      <w:r>
        <w:t xml:space="preserve"> - Политика «дешевых» и «дорогих» денег.</w:t>
      </w:r>
    </w:p>
    <w:p w:rsidR="007F0286" w:rsidRDefault="007F0286">
      <w:pPr>
        <w:pStyle w:val="a7"/>
        <w:ind w:firstLine="709"/>
        <w:rPr>
          <w:sz w:val="24"/>
        </w:rPr>
      </w:pPr>
      <w:bookmarkStart w:id="6" w:name="_Toc451272975"/>
      <w:r>
        <w:rPr>
          <w:sz w:val="24"/>
        </w:rPr>
        <w:t>Выделяют два вида денежно-кредитной политики – политику «дешевых» и «дорогих» денег.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Политика «дешевых» денег характеризуется снижением ставки рефинансирования и нормы обязательных резервов. Также в целях стимуляции центральный банк покупает ценные бумаги у хозяйствующих субъектов. Это – стимулирующая политика, направленная на высвобождение денежных средств в экономике.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Ее противоположностью является политика «дорогих» денег. Ее признаками являются повышение нормы обязательного резервирования и учетной ставки, а также скупка центробанком ценных бумаг.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В Российской Федерации проводится политика «дорогих» денег, но это не совсем правильно с учетом ситуации в настоящее время. Банки, потерявшие значительную часть своих активов в августе 1998 года, не располагают значительными свободными средствами. И сдерживающая политика не оказывает положительного влияния на банковскую систему России.</w:t>
      </w:r>
    </w:p>
    <w:p w:rsidR="007F0286" w:rsidRDefault="007F0286">
      <w:pPr>
        <w:pStyle w:val="1"/>
      </w:pPr>
      <w:bookmarkStart w:id="7" w:name="_Toc500860635"/>
      <w:bookmarkEnd w:id="6"/>
      <w:r>
        <w:t xml:space="preserve">Глава </w:t>
      </w:r>
      <w:r>
        <w:rPr>
          <w:lang w:val="en-US"/>
        </w:rPr>
        <w:t>II</w:t>
      </w:r>
      <w:r>
        <w:t>. ЦБ и денежно-кредитная политика России.</w:t>
      </w:r>
      <w:bookmarkEnd w:id="7"/>
    </w:p>
    <w:p w:rsidR="007F0286" w:rsidRDefault="007F0286">
      <w:pPr>
        <w:pStyle w:val="2"/>
        <w:rPr>
          <w:sz w:val="24"/>
        </w:rPr>
      </w:pPr>
    </w:p>
    <w:p w:rsidR="007F0286" w:rsidRDefault="007F0286">
      <w:pPr>
        <w:pStyle w:val="2"/>
        <w:rPr>
          <w:sz w:val="24"/>
        </w:rPr>
      </w:pPr>
      <w:bookmarkStart w:id="8" w:name="_Toc500860636"/>
      <w:r>
        <w:rPr>
          <w:sz w:val="24"/>
        </w:rPr>
        <w:t>- Задачи и функции ЦБР.</w:t>
      </w:r>
      <w:bookmarkEnd w:id="8"/>
    </w:p>
    <w:p w:rsidR="007F0286" w:rsidRDefault="007F0286">
      <w:pPr>
        <w:pStyle w:val="ab"/>
        <w:spacing w:line="360" w:lineRule="auto"/>
        <w:ind w:firstLine="709"/>
        <w:rPr>
          <w:rFonts w:ascii="Bookman Old Style" w:hAnsi="Bookman Old Style"/>
          <w:snapToGrid w:val="0"/>
          <w:szCs w:val="20"/>
        </w:rPr>
      </w:pPr>
      <w:r>
        <w:rPr>
          <w:rFonts w:ascii="Bookman Old Style" w:hAnsi="Bookman Old Style"/>
        </w:rPr>
        <w:t xml:space="preserve">Задачи и функции Банка России определены Конституцией Российской Федерации и </w:t>
      </w:r>
      <w:r>
        <w:rPr>
          <w:rFonts w:ascii="Bookman Old Style" w:hAnsi="Bookman Old Style"/>
          <w:snapToGrid w:val="0"/>
          <w:szCs w:val="20"/>
        </w:rPr>
        <w:t>Федеральным законом «О Центральном банке Российской Федерации (Банке России)».</w:t>
      </w:r>
    </w:p>
    <w:p w:rsidR="007F0286" w:rsidRDefault="007F0286">
      <w:pPr>
        <w:pStyle w:val="ab"/>
        <w:spacing w:line="360" w:lineRule="auto"/>
        <w:ind w:firstLine="851"/>
        <w:rPr>
          <w:rFonts w:ascii="Bookman Old Style" w:hAnsi="Bookman Old Style"/>
        </w:rPr>
      </w:pPr>
      <w:r>
        <w:rPr>
          <w:rFonts w:ascii="Bookman Old Style" w:hAnsi="Bookman Old Style"/>
        </w:rPr>
        <w:t>Основная цель деятельности Банка России - защита и обеспечение стабильности рубля. При этом Банк России выступает как единственный эмиссионный центр, а также как орган банковского регулирования и надзора. Комплекс основных функций Банка России закреплен в статье 4 Федерального закона «О Центральном банке Российской Федерации (Банке России)», в соответствии с которой Банк России:</w:t>
      </w:r>
    </w:p>
    <w:p w:rsidR="007F0286" w:rsidRDefault="007F0286">
      <w:pPr>
        <w:pStyle w:val="a7"/>
        <w:numPr>
          <w:ilvl w:val="0"/>
          <w:numId w:val="28"/>
        </w:numPr>
        <w:rPr>
          <w:b/>
          <w:sz w:val="24"/>
          <w:u w:val="single"/>
        </w:rPr>
      </w:pPr>
      <w:r>
        <w:rPr>
          <w:sz w:val="24"/>
        </w:rPr>
        <w:t>во взаимодействии с Правительством Российской Федерации разрабатывает и проводит единую государственную денежно-кредитную политику, направленную на защиту и обеспечение устойчивости рубля;</w:t>
      </w:r>
    </w:p>
    <w:p w:rsidR="007F0286" w:rsidRDefault="007F0286">
      <w:pPr>
        <w:pStyle w:val="a7"/>
        <w:numPr>
          <w:ilvl w:val="0"/>
          <w:numId w:val="28"/>
        </w:numPr>
        <w:rPr>
          <w:b/>
          <w:sz w:val="24"/>
          <w:u w:val="single"/>
        </w:rPr>
      </w:pPr>
      <w:r>
        <w:rPr>
          <w:sz w:val="24"/>
        </w:rPr>
        <w:t>монопольно осуществляет эмиссию наличных денег и организует их обращение;</w:t>
      </w:r>
    </w:p>
    <w:p w:rsidR="007F0286" w:rsidRDefault="007F0286">
      <w:pPr>
        <w:pStyle w:val="a7"/>
        <w:numPr>
          <w:ilvl w:val="0"/>
          <w:numId w:val="28"/>
        </w:numPr>
        <w:rPr>
          <w:b/>
          <w:sz w:val="24"/>
          <w:u w:val="single"/>
        </w:rPr>
      </w:pPr>
      <w:r>
        <w:rPr>
          <w:sz w:val="24"/>
        </w:rPr>
        <w:t>является кредитором последней инстанции для кредитных организаций, организует систему рефинансирования;</w:t>
      </w:r>
    </w:p>
    <w:p w:rsidR="007F0286" w:rsidRDefault="007F0286">
      <w:pPr>
        <w:pStyle w:val="a7"/>
        <w:numPr>
          <w:ilvl w:val="0"/>
          <w:numId w:val="28"/>
        </w:numPr>
        <w:rPr>
          <w:b/>
          <w:sz w:val="24"/>
          <w:u w:val="single"/>
        </w:rPr>
      </w:pPr>
      <w:r>
        <w:rPr>
          <w:sz w:val="24"/>
        </w:rPr>
        <w:t>устанавливает правила осуществления расчетов в Российской Федерации;</w:t>
      </w:r>
    </w:p>
    <w:p w:rsidR="007F0286" w:rsidRDefault="007F0286">
      <w:pPr>
        <w:pStyle w:val="a7"/>
        <w:numPr>
          <w:ilvl w:val="0"/>
          <w:numId w:val="28"/>
        </w:numPr>
        <w:rPr>
          <w:b/>
          <w:sz w:val="24"/>
          <w:u w:val="single"/>
        </w:rPr>
      </w:pPr>
      <w:r>
        <w:rPr>
          <w:sz w:val="24"/>
        </w:rPr>
        <w:t>устанавливает правила проведения банковских операций, бухгалтерского учета и отчетности для банковской системы;</w:t>
      </w:r>
    </w:p>
    <w:p w:rsidR="007F0286" w:rsidRDefault="007F0286">
      <w:pPr>
        <w:pStyle w:val="a7"/>
        <w:numPr>
          <w:ilvl w:val="0"/>
          <w:numId w:val="28"/>
        </w:numPr>
        <w:rPr>
          <w:b/>
          <w:sz w:val="24"/>
          <w:u w:val="single"/>
        </w:rPr>
      </w:pPr>
      <w:r>
        <w:rPr>
          <w:sz w:val="24"/>
        </w:rPr>
        <w:t>осуществляет государственную регистрацию кредитных организаций, выдает и отзывает лицензии кредитных организаций и организаций, занимающихся их аудитом:</w:t>
      </w:r>
      <w:r>
        <w:rPr>
          <w:sz w:val="24"/>
        </w:rPr>
        <w:br/>
        <w:t>осуществляет надзор за деятельностью кредитных организаций;</w:t>
      </w:r>
      <w:r>
        <w:rPr>
          <w:sz w:val="24"/>
        </w:rPr>
        <w:br/>
        <w:t>регистрирует эмиссию ценных бумаг кредитными организациями в соответствии с федеральными законами:</w:t>
      </w:r>
      <w:r>
        <w:rPr>
          <w:sz w:val="24"/>
        </w:rPr>
        <w:br/>
        <w:t>осуществляет самостоятельно или по поручению Правительства Российской Федерации все виды банковских операций, необходимых для выполнения своих основных задач;</w:t>
      </w:r>
    </w:p>
    <w:p w:rsidR="007F0286" w:rsidRDefault="007F0286">
      <w:pPr>
        <w:pStyle w:val="a7"/>
        <w:numPr>
          <w:ilvl w:val="0"/>
          <w:numId w:val="28"/>
        </w:numPr>
        <w:rPr>
          <w:b/>
          <w:sz w:val="24"/>
          <w:u w:val="single"/>
        </w:rPr>
      </w:pPr>
      <w:r>
        <w:rPr>
          <w:sz w:val="24"/>
        </w:rPr>
        <w:t>осуществляет валютное регулирование, включая операции по покупке и продаже иностранной валюты; определяет порядок осуществления расчетов с иностранными государствами;</w:t>
      </w:r>
    </w:p>
    <w:p w:rsidR="007F0286" w:rsidRDefault="007F0286">
      <w:pPr>
        <w:pStyle w:val="a7"/>
        <w:numPr>
          <w:ilvl w:val="0"/>
          <w:numId w:val="28"/>
        </w:numPr>
        <w:rPr>
          <w:b/>
          <w:sz w:val="24"/>
          <w:u w:val="single"/>
        </w:rPr>
      </w:pPr>
      <w:r>
        <w:rPr>
          <w:sz w:val="24"/>
        </w:rPr>
        <w:t>организует и осуществляет валютный контроль как непосредственно, так и через уполномоченные банки в соответствии с законодательством Российской Федерации:</w:t>
      </w:r>
      <w:r>
        <w:rPr>
          <w:sz w:val="24"/>
        </w:rPr>
        <w:br/>
        <w:t>принимает участие в разработке прогноза платежного баланса Российской Федерации и организует составление платежного баланса Российской Федерации:</w:t>
      </w:r>
      <w:r>
        <w:rPr>
          <w:sz w:val="24"/>
        </w:rPr>
        <w:br/>
        <w:t>проводит анализ и прогнозирование состояния экономики Российской Федерации в целом и по регионам, прежде всего денежно-кредитных, валютно-финансовых и ценовых отношений; публикует соответствующие материалы и статистические данные, а также выполняет иные функции в соответствии с федеральными законами.</w:t>
      </w:r>
    </w:p>
    <w:p w:rsidR="007F0286" w:rsidRDefault="007F0286">
      <w:pPr>
        <w:pStyle w:val="a7"/>
        <w:rPr>
          <w:sz w:val="24"/>
        </w:rPr>
      </w:pPr>
    </w:p>
    <w:p w:rsidR="007F0286" w:rsidRDefault="007F0286">
      <w:pPr>
        <w:pStyle w:val="2"/>
        <w:rPr>
          <w:sz w:val="24"/>
        </w:rPr>
      </w:pPr>
      <w:bookmarkStart w:id="9" w:name="_Toc500860637"/>
      <w:r>
        <w:rPr>
          <w:sz w:val="24"/>
        </w:rPr>
        <w:t>- Основные инструменты денежно-кредитной политики ЦБР.</w:t>
      </w:r>
      <w:bookmarkEnd w:id="9"/>
    </w:p>
    <w:p w:rsidR="007F0286" w:rsidRDefault="007F0286">
      <w:pPr>
        <w:pStyle w:val="a7"/>
        <w:numPr>
          <w:ilvl w:val="0"/>
          <w:numId w:val="30"/>
        </w:numPr>
        <w:rPr>
          <w:i/>
          <w:iCs/>
          <w:sz w:val="24"/>
        </w:rPr>
      </w:pPr>
      <w:r>
        <w:rPr>
          <w:i/>
          <w:iCs/>
          <w:sz w:val="24"/>
        </w:rPr>
        <w:t>Обязательные резервы.</w:t>
      </w:r>
    </w:p>
    <w:p w:rsidR="007F0286" w:rsidRDefault="007F0286">
      <w:pPr>
        <w:pStyle w:val="a7"/>
        <w:rPr>
          <w:sz w:val="24"/>
        </w:rPr>
      </w:pPr>
      <w:r>
        <w:rPr>
          <w:sz w:val="24"/>
        </w:rPr>
        <w:t xml:space="preserve">Норма обязательных резервов широко используется государством для увеличения или уменьшения свободной денежной массы. Естественно, увеличение нормы обязательного резервирования влечет за собой уменьшение свободной денежной массы. </w:t>
      </w:r>
    </w:p>
    <w:p w:rsidR="007F0286" w:rsidRDefault="007F0286">
      <w:pPr>
        <w:pStyle w:val="a7"/>
        <w:rPr>
          <w:sz w:val="24"/>
        </w:rPr>
      </w:pPr>
      <w:r>
        <w:rPr>
          <w:sz w:val="24"/>
        </w:rPr>
        <w:t>В данной таблице представлены нормы обязательных резервов по привлеченным средствам юридических и физических лиц за 1998 и 1999 годы. Заметно, что в 1999 году по сравнению с 1998 годом была применена более гибкая политика и введена дифференциация норм в зависимости от операций, осуществляемых банком.</w:t>
      </w:r>
    </w:p>
    <w:p w:rsidR="007F0286" w:rsidRDefault="007F0286">
      <w:pPr>
        <w:pStyle w:val="a7"/>
        <w:rPr>
          <w:sz w:val="24"/>
        </w:rPr>
      </w:pPr>
    </w:p>
    <w:tbl>
      <w:tblPr>
        <w:tblW w:w="839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45"/>
        <w:gridCol w:w="2785"/>
        <w:gridCol w:w="3364"/>
      </w:tblGrid>
      <w:tr w:rsidR="007F0286">
        <w:trPr>
          <w:tblCellSpacing w:w="0" w:type="dxa"/>
        </w:trPr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286" w:rsidRDefault="007F02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286" w:rsidRDefault="007F0286">
            <w:pPr>
              <w:pStyle w:val="ab"/>
              <w:jc w:val="center"/>
            </w:pPr>
            <w:r>
              <w:rPr>
                <w:szCs w:val="20"/>
              </w:rPr>
              <w:t xml:space="preserve">Норматив обязательных резервов по привлеченным средствам юридических лиц 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286" w:rsidRDefault="007F0286">
            <w:pPr>
              <w:pStyle w:val="ab"/>
              <w:jc w:val="center"/>
            </w:pPr>
            <w:r>
              <w:rPr>
                <w:szCs w:val="20"/>
              </w:rPr>
              <w:t xml:space="preserve">Норматив обязательных резервов по привлеченным средствам физических лиц </w:t>
            </w:r>
          </w:p>
        </w:tc>
      </w:tr>
      <w:tr w:rsidR="007F0286">
        <w:trPr>
          <w:tblCellSpacing w:w="0" w:type="dxa"/>
        </w:trPr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286" w:rsidRDefault="007F02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 декабря 1998 г. -</w:t>
            </w:r>
          </w:p>
        </w:tc>
        <w:tc>
          <w:tcPr>
            <w:tcW w:w="6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286" w:rsidRDefault="007F0286">
            <w:pPr>
              <w:pStyle w:val="ab"/>
              <w:jc w:val="center"/>
            </w:pPr>
            <w:r>
              <w:rPr>
                <w:szCs w:val="20"/>
              </w:rPr>
              <w:t>5</w:t>
            </w:r>
          </w:p>
        </w:tc>
      </w:tr>
      <w:tr w:rsidR="007F0286">
        <w:trPr>
          <w:tblCellSpacing w:w="0" w:type="dxa"/>
        </w:trPr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286" w:rsidRDefault="007F02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19  марта 1999 г. -</w:t>
            </w:r>
            <w:r>
              <w:rPr>
                <w:rFonts w:ascii="Times New Roman" w:hAnsi="Times New Roman"/>
                <w:sz w:val="24"/>
              </w:rPr>
              <w:br/>
              <w:t>9 июня 1999 г.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286" w:rsidRDefault="007F0286">
            <w:pPr>
              <w:pStyle w:val="ab"/>
              <w:jc w:val="center"/>
            </w:pPr>
            <w:r>
              <w:rPr>
                <w:szCs w:val="20"/>
              </w:rPr>
              <w:t>7</w:t>
            </w:r>
          </w:p>
        </w:tc>
        <w:tc>
          <w:tcPr>
            <w:tcW w:w="3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0286" w:rsidRDefault="007F0286">
            <w:pPr>
              <w:pStyle w:val="ab"/>
              <w:jc w:val="center"/>
            </w:pPr>
            <w:r>
              <w:rPr>
                <w:szCs w:val="20"/>
              </w:rPr>
              <w:t>5</w:t>
            </w:r>
          </w:p>
        </w:tc>
      </w:tr>
    </w:tbl>
    <w:p w:rsidR="007F0286" w:rsidRDefault="007F0286">
      <w:pPr>
        <w:pStyle w:val="a7"/>
        <w:rPr>
          <w:i/>
          <w:iCs/>
          <w:sz w:val="24"/>
        </w:rPr>
      </w:pPr>
    </w:p>
    <w:p w:rsidR="007F0286" w:rsidRDefault="007F0286">
      <w:pPr>
        <w:pStyle w:val="a7"/>
        <w:rPr>
          <w:sz w:val="24"/>
        </w:rPr>
      </w:pPr>
    </w:p>
    <w:p w:rsidR="007F0286" w:rsidRDefault="007F0286">
      <w:pPr>
        <w:pStyle w:val="a7"/>
        <w:numPr>
          <w:ilvl w:val="0"/>
          <w:numId w:val="30"/>
        </w:numPr>
        <w:rPr>
          <w:i/>
          <w:iCs/>
          <w:sz w:val="24"/>
        </w:rPr>
      </w:pPr>
      <w:r>
        <w:rPr>
          <w:i/>
          <w:iCs/>
          <w:sz w:val="24"/>
        </w:rPr>
        <w:t>Рефинансирование банков.</w:t>
      </w:r>
    </w:p>
    <w:p w:rsidR="007F0286" w:rsidRDefault="007F0286">
      <w:pPr>
        <w:pStyle w:val="a7"/>
        <w:rPr>
          <w:sz w:val="24"/>
        </w:rPr>
      </w:pPr>
      <w:r>
        <w:rPr>
          <w:sz w:val="24"/>
        </w:rPr>
        <w:t>Ставка рефинансирования – очень мощный инструмент воздействия на нижний уровень банковской системы. Именно поэтому она относительно редко изменяется, а ее изменения влекут за собой значительные последствия для банковской системы в целом. Государство не должно допускать резких изменений ставки рефинансирования.</w:t>
      </w:r>
    </w:p>
    <w:p w:rsidR="007F0286" w:rsidRDefault="007F0286">
      <w:pPr>
        <w:pStyle w:val="a7"/>
        <w:rPr>
          <w:sz w:val="24"/>
        </w:rPr>
      </w:pPr>
      <w:r>
        <w:rPr>
          <w:sz w:val="24"/>
        </w:rPr>
        <w:t>Колебания учетной ставки (ставки рефинансирования) на графике отражают нестабильность российской экономики.</w:t>
      </w:r>
    </w:p>
    <w:p w:rsidR="007F0286" w:rsidRDefault="007F0286">
      <w:pPr>
        <w:pStyle w:val="a7"/>
        <w:rPr>
          <w:sz w:val="24"/>
        </w:rPr>
      </w:pPr>
    </w:p>
    <w:p w:rsidR="007F0286" w:rsidRDefault="00A47982">
      <w:pPr>
        <w:pStyle w:val="a7"/>
        <w:rPr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75pt;height:217.5pt">
            <v:imagedata r:id="rId7" o:title=""/>
          </v:shape>
        </w:pict>
      </w:r>
    </w:p>
    <w:p w:rsidR="007F0286" w:rsidRDefault="007F0286">
      <w:pPr>
        <w:pStyle w:val="a7"/>
        <w:rPr>
          <w:sz w:val="24"/>
        </w:rPr>
      </w:pPr>
      <w:r>
        <w:rPr>
          <w:sz w:val="24"/>
        </w:rPr>
        <w:t>Как известно, повышение учетной ставки влечет за собой «удорожание» кредитов и, следовательно, снижение инвестиций. Этот инструмент денежно-кредитной политики не всегда использовался грамотно и часто вступал в противоречия с другими составляющими государственной политики.</w:t>
      </w:r>
    </w:p>
    <w:p w:rsidR="007F0286" w:rsidRDefault="007F0286">
      <w:pPr>
        <w:pStyle w:val="a7"/>
        <w:rPr>
          <w:sz w:val="24"/>
        </w:rPr>
      </w:pPr>
      <w:r>
        <w:rPr>
          <w:sz w:val="24"/>
        </w:rPr>
        <w:t xml:space="preserve">В настоящее время рефинансирование осуществляется путем предоставления внутридневных кредитов, кредитов «овернайт» и ломбардных кредитов. </w:t>
      </w:r>
    </w:p>
    <w:p w:rsidR="007F0286" w:rsidRDefault="007F0286">
      <w:pPr>
        <w:pStyle w:val="a7"/>
        <w:rPr>
          <w:sz w:val="24"/>
        </w:rPr>
      </w:pPr>
    </w:p>
    <w:p w:rsidR="007F0286" w:rsidRDefault="007F0286">
      <w:pPr>
        <w:pStyle w:val="a7"/>
        <w:numPr>
          <w:ilvl w:val="0"/>
          <w:numId w:val="30"/>
        </w:numPr>
        <w:rPr>
          <w:i/>
          <w:iCs/>
          <w:sz w:val="24"/>
        </w:rPr>
      </w:pPr>
      <w:r>
        <w:rPr>
          <w:i/>
          <w:iCs/>
          <w:sz w:val="24"/>
        </w:rPr>
        <w:t>Валютные интервенции.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В результате анализа, о котором говорилось ранее, были получены следующие данные:</w:t>
      </w:r>
      <w:r>
        <w:rPr>
          <w:rStyle w:val="a4"/>
          <w:sz w:val="24"/>
        </w:rPr>
        <w:footnoteReference w:id="7"/>
      </w:r>
    </w:p>
    <w:p w:rsidR="007F0286" w:rsidRDefault="007F0286">
      <w:pPr>
        <w:pStyle w:val="a7"/>
        <w:ind w:firstLine="709"/>
        <w:rPr>
          <w:sz w:val="24"/>
        </w:rPr>
      </w:pPr>
    </w:p>
    <w:tbl>
      <w:tblPr>
        <w:tblW w:w="68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2"/>
        <w:gridCol w:w="1749"/>
        <w:gridCol w:w="1779"/>
        <w:gridCol w:w="1660"/>
      </w:tblGrid>
      <w:tr w:rsidR="007F0286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Критерий успеха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"Направление"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"Сглаживание"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rPr>
                <w:rFonts w:ascii="Times New Roman" w:eastAsia="Arial Unicode MS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Разворот"</w:t>
            </w:r>
          </w:p>
        </w:tc>
      </w:tr>
      <w:tr w:rsidR="007F0286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Период до валютного кризиса, январь 1997 г. - август 1998 г.</w:t>
            </w:r>
          </w:p>
        </w:tc>
      </w:tr>
      <w:tr w:rsidR="007F028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Успешные интерв.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7F028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Провальные интерв.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7F028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7F028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успешных инт.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47,4%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77,8%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0,0%</w:t>
            </w:r>
          </w:p>
        </w:tc>
      </w:tr>
      <w:tr w:rsidR="007F0286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Период после валютного кризиса, сентябрь 1998 г. - июль 2000 г.</w:t>
            </w:r>
          </w:p>
        </w:tc>
      </w:tr>
      <w:tr w:rsidR="007F028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Успешные интерв.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F028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Провальные интерв.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</w:tr>
      <w:tr w:rsidR="007F028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</w:tr>
      <w:tr w:rsidR="007F028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успешных инт.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39,1%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65,2%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4,3%</w:t>
            </w:r>
          </w:p>
        </w:tc>
      </w:tr>
      <w:tr w:rsidR="007F0286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Весь период, январь 1997 г. - июль 2000 г.</w:t>
            </w:r>
          </w:p>
        </w:tc>
      </w:tr>
      <w:tr w:rsidR="007F028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Успешные интерв.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7F028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Провальные интерв.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7F028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</w:tr>
      <w:tr w:rsidR="007F028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успешных инт.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40,5%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68,3%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0286" w:rsidRDefault="007F0286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2,4%</w:t>
            </w:r>
          </w:p>
        </w:tc>
      </w:tr>
    </w:tbl>
    <w:p w:rsidR="007F0286" w:rsidRDefault="007F0286">
      <w:pPr>
        <w:pStyle w:val="a7"/>
        <w:ind w:firstLine="709"/>
        <w:rPr>
          <w:sz w:val="24"/>
        </w:rPr>
      </w:pP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Доли успешных и провальных интервенций за период с января 1997 года по июль 2000 года отражены в диаграмме.</w:t>
      </w:r>
    </w:p>
    <w:p w:rsidR="007F0286" w:rsidRDefault="007F0286">
      <w:pPr>
        <w:pStyle w:val="a7"/>
        <w:ind w:firstLine="709"/>
        <w:rPr>
          <w:sz w:val="24"/>
        </w:rPr>
      </w:pPr>
    </w:p>
    <w:p w:rsidR="007F0286" w:rsidRDefault="00A47982">
      <w:pPr>
        <w:pStyle w:val="a7"/>
        <w:ind w:firstLine="709"/>
        <w:rPr>
          <w:sz w:val="24"/>
        </w:rPr>
      </w:pPr>
      <w:r>
        <w:rPr>
          <w:sz w:val="24"/>
        </w:rPr>
        <w:pict>
          <v:shape id="_x0000_i1026" type="#_x0000_t75" style="width:285.75pt;height:154.5pt">
            <v:imagedata r:id="rId8" o:title=""/>
          </v:shape>
        </w:pict>
      </w:r>
    </w:p>
    <w:p w:rsidR="007F0286" w:rsidRDefault="007F0286">
      <w:pPr>
        <w:pStyle w:val="a7"/>
        <w:ind w:firstLine="709"/>
        <w:rPr>
          <w:sz w:val="24"/>
        </w:rPr>
      </w:pP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По результатам анализа можно сделать несколько выводов.</w:t>
      </w:r>
    </w:p>
    <w:p w:rsidR="007F0286" w:rsidRDefault="007F0286">
      <w:pPr>
        <w:pStyle w:val="a7"/>
        <w:numPr>
          <w:ilvl w:val="1"/>
          <w:numId w:val="28"/>
        </w:numPr>
        <w:rPr>
          <w:sz w:val="24"/>
        </w:rPr>
      </w:pPr>
      <w:r>
        <w:rPr>
          <w:sz w:val="24"/>
        </w:rPr>
        <w:t>До валютного кризиса августа 1998 года Центральный банк РФ был наиболее успешен в сглаживании колебаний валютного курса (в 78% случаев) и менее успешен в поддержании тенденций на рынке (47% случаев).</w:t>
      </w:r>
    </w:p>
    <w:p w:rsidR="007F0286" w:rsidRDefault="007F0286">
      <w:pPr>
        <w:pStyle w:val="a7"/>
        <w:numPr>
          <w:ilvl w:val="1"/>
          <w:numId w:val="28"/>
        </w:numPr>
        <w:rPr>
          <w:sz w:val="24"/>
        </w:rPr>
      </w:pPr>
      <w:r>
        <w:rPr>
          <w:sz w:val="24"/>
        </w:rPr>
        <w:t>После кризиса и введения плавающего курса общая эффективность валютных интервенций Банка России снизилась.</w:t>
      </w:r>
    </w:p>
    <w:p w:rsidR="007F0286" w:rsidRDefault="007F0286">
      <w:pPr>
        <w:pStyle w:val="a7"/>
        <w:numPr>
          <w:ilvl w:val="1"/>
          <w:numId w:val="28"/>
        </w:numPr>
        <w:rPr>
          <w:sz w:val="24"/>
        </w:rPr>
      </w:pPr>
      <w:r>
        <w:rPr>
          <w:sz w:val="24"/>
        </w:rPr>
        <w:t>По значениям третьего критерия можно сделать вывод, что в России не могут «перебороть» рынок и осуществить разворот тренда. С такой низкой эффективностью в периоды финансовых потрясений ЦБР не сможет исключительно силами одних интервенций противостоять валютному кризису.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Но эти выводы отнюдь не свидетельствуют о низком профессионализме Центрального банка. Международные исследования обнаружили, что эффективностью обладают лишь интервенции центральных банков США, Японии и Германии. Большинство же центральных банков в этом преуспело мало. Например, слабое влияние валютных интервенций на курс национальной денежной единицы отмечено в таких развитых странах, как Швеция и Канада.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Также проиллюстрировать результаты анализа можно, рассмотрев динамику курса доллара США к российскому рублю, которая подтверждает успешные действия ЦБР по сглаживанию колебаний курса и слабое влияние валютных интервенций на замедление или прекращение падения курса рубля.</w:t>
      </w:r>
    </w:p>
    <w:p w:rsidR="007F0286" w:rsidRDefault="00A47982">
      <w:pPr>
        <w:pStyle w:val="a7"/>
        <w:ind w:firstLine="709"/>
        <w:rPr>
          <w:sz w:val="24"/>
        </w:rPr>
      </w:pPr>
      <w:r>
        <w:rPr>
          <w:sz w:val="24"/>
        </w:rPr>
        <w:pict>
          <v:shape id="_x0000_i1027" type="#_x0000_t75" alt="0111.gif (5953 bytes)" style="width:384.75pt;height:278.25pt"/>
        </w:pict>
      </w:r>
      <w:r w:rsidR="007F0286">
        <w:rPr>
          <w:sz w:val="24"/>
        </w:rPr>
        <w:t xml:space="preserve"> </w:t>
      </w:r>
    </w:p>
    <w:p w:rsidR="007F0286" w:rsidRDefault="007F0286">
      <w:pPr>
        <w:pStyle w:val="a7"/>
        <w:ind w:left="360" w:firstLine="0"/>
        <w:rPr>
          <w:i/>
          <w:iCs/>
          <w:sz w:val="24"/>
        </w:rPr>
      </w:pPr>
    </w:p>
    <w:p w:rsidR="007F0286" w:rsidRDefault="007F0286">
      <w:pPr>
        <w:pStyle w:val="2"/>
        <w:rPr>
          <w:sz w:val="24"/>
        </w:rPr>
      </w:pPr>
      <w:bookmarkStart w:id="10" w:name="_Toc451272980"/>
      <w:bookmarkStart w:id="11" w:name="_Toc500860638"/>
      <w:r>
        <w:rPr>
          <w:sz w:val="24"/>
        </w:rPr>
        <w:t xml:space="preserve">- </w:t>
      </w:r>
      <w:bookmarkEnd w:id="10"/>
      <w:r>
        <w:rPr>
          <w:sz w:val="24"/>
        </w:rPr>
        <w:t>Денежно-кредитная политика в 2000 году.</w:t>
      </w:r>
      <w:bookmarkEnd w:id="11"/>
    </w:p>
    <w:p w:rsidR="007F0286" w:rsidRDefault="007F0286">
      <w:pPr>
        <w:pStyle w:val="ab"/>
        <w:spacing w:line="360" w:lineRule="auto"/>
        <w:ind w:firstLine="851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Главной задачей денежно-кредитной политики на среднесрочную перспективу Центральный банк Российской Федерации считает снижение инфляции при сохранении и возможном ускорении роста ВВП с одновременным созданием предпосылок для снижения безработицы и увеличения реальных доходов населения. В связи с этим основными направлениями единой государственной денежно-кредитной политики на 2000 год предусматривалось снижение инфляции до 18-22% в целом за год при сохранении тенденции к росту производства и услуг. </w:t>
      </w:r>
    </w:p>
    <w:p w:rsidR="007F0286" w:rsidRDefault="007F0286">
      <w:pPr>
        <w:pStyle w:val="ab"/>
        <w:spacing w:line="360" w:lineRule="auto"/>
        <w:ind w:firstLine="709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В качестве промежуточной цели денежно-кредитной политики на 2000 год был определен прирост денежной массы М2, который должен был составить 21-25% за год. </w:t>
      </w:r>
    </w:p>
    <w:p w:rsidR="007F0286" w:rsidRDefault="007F0286">
      <w:pPr>
        <w:spacing w:line="360" w:lineRule="auto"/>
        <w:rPr>
          <w:rFonts w:ascii="Bookman Old Style" w:hAnsi="Bookman Old Style"/>
          <w:vanish/>
          <w:sz w:val="24"/>
        </w:rPr>
      </w:pPr>
    </w:p>
    <w:p w:rsidR="007F0286" w:rsidRDefault="007F0286">
      <w:pPr>
        <w:pStyle w:val="ab"/>
        <w:spacing w:line="360" w:lineRule="auto"/>
        <w:ind w:firstLine="709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t> Контроль за денежным предложением остается важнейшим механизмом обеспечения внешней и внутренней стабильности рубля и является основой плавного и предсказуемого изменения валютного курса. В 2000 году Банк России продолжает осуществление политики плавающего валютного курса, которая в большей степени соответствует целям и задачам, стоящим перед экономикой. Основой действий Банка России на внутреннем валютном рынке является сглаживание резких курсовых колебаний в сочетании с мерами валютного регулирования и валютного контроля в целях большего соответствия рыночного курса реальным экономическим условиям. Режим плавающего валютного курса создает более благоприятные условия для сохранения и накопления Банком России золотовалютных резервов, что особенно важно с точки зрения оценки платежеспособности России и решения проблемы внешнего долга, который в настоящее время составляет около 90% ВВП.</w:t>
      </w:r>
    </w:p>
    <w:p w:rsidR="007F0286" w:rsidRDefault="007F0286">
      <w:pPr>
        <w:pStyle w:val="ab"/>
        <w:spacing w:line="360" w:lineRule="auto"/>
        <w:ind w:firstLine="709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t>Уровень золотовалютных резервов и показатели, характеризующие состояние внешней торговли (например, такие, как динамика экспорта и импорта, уровень мировых цен на основные российские экспортные товары, общее изменение условий торговли) - важнейшие индикаторы, определяющие адекватность денежно-кредитной политики поставленным целям и задачам.</w:t>
      </w:r>
    </w:p>
    <w:p w:rsidR="007F0286" w:rsidRDefault="007F0286">
      <w:pPr>
        <w:pStyle w:val="ab"/>
        <w:spacing w:line="360" w:lineRule="auto"/>
        <w:ind w:firstLine="709"/>
        <w:jc w:val="left"/>
        <w:rPr>
          <w:rFonts w:ascii="Bookman Old Style" w:hAnsi="Bookman Old Style"/>
        </w:rPr>
      </w:pPr>
    </w:p>
    <w:p w:rsidR="007F0286" w:rsidRDefault="007F0286">
      <w:pPr>
        <w:pStyle w:val="2"/>
        <w:rPr>
          <w:sz w:val="24"/>
        </w:rPr>
      </w:pPr>
      <w:bookmarkStart w:id="12" w:name="_Toc500860639"/>
      <w:r>
        <w:rPr>
          <w:sz w:val="24"/>
        </w:rPr>
        <w:t>- Вопрос независимости центральных банков.</w:t>
      </w:r>
      <w:bookmarkEnd w:id="12"/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Этот вопрос очень важен, так как разная степень независимости центральных банков означает их различные возможности и методы проведения денежно-кредитной политики.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В мировой практике среди множества объективных факторов оценки независимости центральных банков принято выделять следующие:</w:t>
      </w:r>
      <w:r>
        <w:rPr>
          <w:rStyle w:val="a4"/>
          <w:sz w:val="24"/>
        </w:rPr>
        <w:footnoteReference w:id="8"/>
      </w:r>
    </w:p>
    <w:p w:rsidR="007F0286" w:rsidRDefault="007F0286">
      <w:pPr>
        <w:pStyle w:val="a7"/>
        <w:numPr>
          <w:ilvl w:val="0"/>
          <w:numId w:val="33"/>
        </w:numPr>
        <w:rPr>
          <w:sz w:val="24"/>
        </w:rPr>
      </w:pPr>
      <w:r>
        <w:rPr>
          <w:sz w:val="24"/>
        </w:rPr>
        <w:t>Доля собственности государства в капитале центрального банка.</w:t>
      </w:r>
    </w:p>
    <w:p w:rsidR="007F0286" w:rsidRDefault="007F0286">
      <w:pPr>
        <w:pStyle w:val="a7"/>
        <w:numPr>
          <w:ilvl w:val="0"/>
          <w:numId w:val="33"/>
        </w:numPr>
        <w:rPr>
          <w:sz w:val="24"/>
        </w:rPr>
      </w:pPr>
      <w:r>
        <w:rPr>
          <w:sz w:val="24"/>
        </w:rPr>
        <w:t>Процедура назначения или выбора руководства банка;</w:t>
      </w:r>
    </w:p>
    <w:p w:rsidR="007F0286" w:rsidRDefault="007F0286">
      <w:pPr>
        <w:pStyle w:val="a7"/>
        <w:numPr>
          <w:ilvl w:val="0"/>
          <w:numId w:val="33"/>
        </w:numPr>
        <w:rPr>
          <w:sz w:val="24"/>
        </w:rPr>
      </w:pPr>
      <w:r>
        <w:rPr>
          <w:sz w:val="24"/>
        </w:rPr>
        <w:t>Степень отражения в законодательстве целей и задач центрального банка;</w:t>
      </w:r>
    </w:p>
    <w:p w:rsidR="007F0286" w:rsidRDefault="007F0286">
      <w:pPr>
        <w:pStyle w:val="a7"/>
        <w:numPr>
          <w:ilvl w:val="0"/>
          <w:numId w:val="33"/>
        </w:numPr>
        <w:rPr>
          <w:sz w:val="24"/>
        </w:rPr>
      </w:pPr>
      <w:r>
        <w:rPr>
          <w:sz w:val="24"/>
        </w:rPr>
        <w:t>Право государства на вмешательство в денежно-кредитную политику;</w:t>
      </w:r>
    </w:p>
    <w:p w:rsidR="007F0286" w:rsidRDefault="007F0286">
      <w:pPr>
        <w:pStyle w:val="a7"/>
        <w:numPr>
          <w:ilvl w:val="0"/>
          <w:numId w:val="33"/>
        </w:numPr>
        <w:rPr>
          <w:sz w:val="24"/>
        </w:rPr>
      </w:pPr>
      <w:r>
        <w:rPr>
          <w:sz w:val="24"/>
        </w:rPr>
        <w:t>Наличие законодательного ограничения кредитования правительства.</w:t>
      </w:r>
    </w:p>
    <w:p w:rsidR="007F0286" w:rsidRDefault="007F0286">
      <w:pPr>
        <w:pStyle w:val="a7"/>
        <w:ind w:left="720" w:firstLine="0"/>
        <w:rPr>
          <w:sz w:val="24"/>
        </w:rPr>
      </w:pP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Рассмотрим эти критерии на примере Банка России.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По существующему законодательству, уставный капитал Банка России является федеральной собственностью. Но, исходя из зарубежного опыта, следует отметить, что состав собственников капитала центрального банка при проведении денежно-кредитной политики не оказывает существенного влияния на его независимость.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В России, как, например, в Австрии, Великобритании, Дании, США, Германии, руководство банка выбирается или назначается из предложенных кандидатур. В большинстве промышленно развитых стран руководство центрального банка не может быть отозвано раньше установленного срока. ЦБР же более зависим от государства.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В Конституции РФ закреплены основополагающие идеи организации и деятельности Центробанка, а в Федеральном законе – его задачи и функции. Однако в ряде стран, например, в США и Швеции формулировка задач центрального банка в законодательстве дана лишь в общих чертах, а в Англии – вообще не зафиксированы. Эти задачи базируются также в на национальных традициях в этой области, основанных на исторических документах.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Неоправданно высока независимость ЦБР по фактору права государственных органов вмешиваться в проводимую им денежно-кредитную политику. По существующему Федеральному закону «О Центральном банке» ЦБР обязан всего лишь предоставить в Государственную Думу проект «Основных направлений денежно-кредитной политики», предварительно представив его Президенту и правительству РФ. А Госдума ограничивается его рассмотрением. По степени независимости Банк России уступает только центральным банкам Германии и Швейцарии, в законодательстве которых отсутствует право государства на вмешательство в денежную политику центрального банка, а также Австрии и Дании, где это право не предусмотрено. Россия находится примерно на одном уровне с Нидерландами и Швецией, но нельзя забывать, что эти страны имеют давно сформировавшиеся и стабильно функционирующие банковские системы.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По последнему критерию – наличию законодательного ограничения кредитования правительства Банк России обладает меньшей степенью независимости, чем банки Австрии, Нидерландов и Германии, так как объем кредитования правительства утверждается парламентом страны.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Статус банка не так важен, как законодательное определение его полномочий и прописанный механизм контроля за его деятельностью. Обязательная строгая подотчетность должна сочетаться с наделением центробанка достаточными полномочиями для выполнения его функций.</w:t>
      </w:r>
    </w:p>
    <w:p w:rsidR="007F0286" w:rsidRDefault="007F0286">
      <w:pPr>
        <w:pStyle w:val="ab"/>
        <w:spacing w:line="360" w:lineRule="auto"/>
        <w:ind w:firstLine="709"/>
        <w:jc w:val="left"/>
        <w:rPr>
          <w:rFonts w:ascii="Bookman Old Style" w:hAnsi="Bookman Old Style"/>
        </w:rPr>
      </w:pPr>
    </w:p>
    <w:p w:rsidR="007F0286" w:rsidRDefault="007F0286">
      <w:pPr>
        <w:pStyle w:val="1"/>
      </w:pPr>
      <w:bookmarkStart w:id="13" w:name="_Toc500860640"/>
      <w:r>
        <w:t xml:space="preserve">Глава </w:t>
      </w:r>
      <w:r>
        <w:rPr>
          <w:lang w:val="en-US"/>
        </w:rPr>
        <w:t>III</w:t>
      </w:r>
      <w:r>
        <w:t>. Анализ сложившейся ситуации и тенденций.</w:t>
      </w:r>
      <w:bookmarkEnd w:id="13"/>
      <w:r>
        <w:t xml:space="preserve"> </w:t>
      </w:r>
    </w:p>
    <w:p w:rsidR="007F0286" w:rsidRDefault="007F0286">
      <w:pPr>
        <w:rPr>
          <w:sz w:val="24"/>
        </w:rPr>
      </w:pPr>
    </w:p>
    <w:p w:rsidR="007F0286" w:rsidRDefault="007F0286">
      <w:pPr>
        <w:pStyle w:val="2"/>
        <w:rPr>
          <w:sz w:val="24"/>
        </w:rPr>
      </w:pPr>
      <w:bookmarkStart w:id="14" w:name="_Toc500860641"/>
      <w:r>
        <w:rPr>
          <w:sz w:val="24"/>
        </w:rPr>
        <w:t>- Причины неэффективности банковской системы России.</w:t>
      </w:r>
      <w:bookmarkEnd w:id="14"/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Аналитики выделяют три основных причины неэффективного функционирования банковской системы Российской Федерации:</w:t>
      </w:r>
      <w:r>
        <w:rPr>
          <w:rStyle w:val="a4"/>
          <w:sz w:val="24"/>
        </w:rPr>
        <w:footnoteReference w:id="9"/>
      </w:r>
    </w:p>
    <w:p w:rsidR="007F0286" w:rsidRDefault="007F0286">
      <w:pPr>
        <w:pStyle w:val="a7"/>
        <w:numPr>
          <w:ilvl w:val="0"/>
          <w:numId w:val="32"/>
        </w:numPr>
        <w:rPr>
          <w:sz w:val="24"/>
        </w:rPr>
      </w:pPr>
      <w:r>
        <w:rPr>
          <w:sz w:val="24"/>
        </w:rPr>
        <w:t>До 1995 года в России фактически отсутствовал принятый развитых странах банковский надзор.</w:t>
      </w:r>
    </w:p>
    <w:p w:rsidR="007F0286" w:rsidRDefault="007F0286">
      <w:pPr>
        <w:pStyle w:val="a7"/>
        <w:numPr>
          <w:ilvl w:val="0"/>
          <w:numId w:val="32"/>
        </w:numPr>
        <w:rPr>
          <w:sz w:val="24"/>
        </w:rPr>
      </w:pPr>
      <w:r>
        <w:rPr>
          <w:sz w:val="24"/>
        </w:rPr>
        <w:t>Форсирование темпов приватизации привело к вытеснению государства из процесса формирования банковской системы. В настоящее время его доля составляет около 30%. В Германии этот показатель примерно равен 50%, а в Китае – 99%.</w:t>
      </w:r>
    </w:p>
    <w:p w:rsidR="007F0286" w:rsidRDefault="007F0286">
      <w:pPr>
        <w:pStyle w:val="a7"/>
        <w:numPr>
          <w:ilvl w:val="0"/>
          <w:numId w:val="32"/>
        </w:numPr>
        <w:rPr>
          <w:sz w:val="24"/>
        </w:rPr>
      </w:pPr>
      <w:r>
        <w:rPr>
          <w:sz w:val="24"/>
        </w:rPr>
        <w:t>Отсутствие платежеспособного спроса на кредитные ресурсы. Нельзя отрицать, что сейчас в России займы реального сектора экономики являются крайне рисковыми вложениями.</w:t>
      </w:r>
    </w:p>
    <w:p w:rsidR="007F0286" w:rsidRDefault="007F0286">
      <w:pPr>
        <w:pStyle w:val="a7"/>
        <w:ind w:firstLine="709"/>
        <w:rPr>
          <w:sz w:val="24"/>
        </w:rPr>
      </w:pP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 xml:space="preserve">В соответствие с международной практикой для поддержания работоспособности банковской системы необходимо 5-7% ВВП. И, принимая во внимание потери российских банков вследствие кризиса 1998 года (а некоторые банки лишились тогда 55% своих активов), по мнению аналитиков, банковской системе России на восстановление может потребоваться от 5 до 8 лет. </w:t>
      </w:r>
    </w:p>
    <w:p w:rsidR="007F0286" w:rsidRDefault="007F0286">
      <w:pPr>
        <w:pStyle w:val="a7"/>
        <w:ind w:firstLine="709"/>
        <w:rPr>
          <w:sz w:val="24"/>
        </w:rPr>
      </w:pPr>
    </w:p>
    <w:p w:rsidR="007F0286" w:rsidRDefault="007F0286">
      <w:pPr>
        <w:pStyle w:val="2"/>
        <w:rPr>
          <w:sz w:val="24"/>
        </w:rPr>
      </w:pPr>
      <w:bookmarkStart w:id="15" w:name="_Toc500860642"/>
      <w:r>
        <w:rPr>
          <w:sz w:val="24"/>
        </w:rPr>
        <w:t>- Итоги 2000 года и прогнозы на ближайшее будущее.</w:t>
      </w:r>
      <w:bookmarkEnd w:id="15"/>
      <w:r>
        <w:rPr>
          <w:sz w:val="24"/>
        </w:rPr>
        <w:t xml:space="preserve"> 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Итак, одной из основных задач макроэкономического развития России на 2000 год являлось закрепление и развитие сформировавшейся в течение 1999 года тенденции к устойчивому экономическому росту.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Складывающийся уровень инвестирования недостаточен для обеспечения устойчивого экономического роста, основанного на формировании механизма постоянного повышения эффективности производства. Для этого необходимо как минимум удвоение темпов роста инвестиций, возможное только в случае привлечения для этих целей дополнительных финансовых ресурсов – как внутренних, так и внешних. И в связи с этим как никогда велика роль банковской системы.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 xml:space="preserve">Следует подчеркнуть, что в </w:t>
      </w:r>
      <w:r>
        <w:rPr>
          <w:sz w:val="24"/>
          <w:lang w:val="en-US"/>
        </w:rPr>
        <w:t>I</w:t>
      </w:r>
      <w:r>
        <w:rPr>
          <w:sz w:val="24"/>
        </w:rPr>
        <w:t xml:space="preserve"> квартале текущего года все-таки удалось реализовать благоприятные изменения в торговом балансе, в том числе для наращения валютных резервов ЦБ.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Также возросли золотовалютные резервы. К концу марта 2000 года впервые за несколько лет была достигнута положительность показателя по чистым международным резервам в размере 0,5 млрд. долларов США. На начало мая текущего года этот показатель уже составлял 3,7 млрд. долларов.</w:t>
      </w:r>
      <w:r>
        <w:rPr>
          <w:rStyle w:val="a4"/>
          <w:sz w:val="24"/>
        </w:rPr>
        <w:footnoteReference w:id="10"/>
      </w:r>
      <w:r>
        <w:rPr>
          <w:sz w:val="24"/>
        </w:rPr>
        <w:t xml:space="preserve"> Это означает превышение общей суммы золотовалютных резервов Банка России и резервов Правительства Российской Федерации над обязательствами перед МВФ.</w:t>
      </w:r>
    </w:p>
    <w:p w:rsidR="007F0286" w:rsidRDefault="007F0286">
      <w:pPr>
        <w:pStyle w:val="a7"/>
        <w:ind w:firstLine="709"/>
        <w:rPr>
          <w:sz w:val="24"/>
        </w:rPr>
      </w:pPr>
    </w:p>
    <w:p w:rsidR="007F0286" w:rsidRDefault="00A47982">
      <w:pPr>
        <w:pStyle w:val="a7"/>
        <w:ind w:firstLine="709"/>
        <w:rPr>
          <w:sz w:val="24"/>
          <w:lang w:val="en-US"/>
        </w:rPr>
      </w:pPr>
      <w:r>
        <w:rPr>
          <w:sz w:val="24"/>
        </w:rPr>
        <w:pict>
          <v:shape id="_x0000_i1028" type="#_x0000_t75" style="width:456.75pt;height:252.75pt">
            <v:imagedata r:id="rId9" o:title=""/>
          </v:shape>
        </w:pic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 xml:space="preserve">При формировании денежно-кредитной политики на текущий год Банк России исходил из постепенного увеличения спроса на деньги в экономике и увеличения степени монетаризации ВВП. По итогам </w:t>
      </w:r>
      <w:r>
        <w:rPr>
          <w:sz w:val="24"/>
          <w:lang w:val="en-US"/>
        </w:rPr>
        <w:t>I</w:t>
      </w:r>
      <w:r>
        <w:rPr>
          <w:sz w:val="24"/>
        </w:rPr>
        <w:t xml:space="preserve"> квартала 2000 года денежная масса (М2) возросла на 5,3%, что соответствовало спросу на деньги, и увеличение, таким образом, не носило инфляционного характера.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 xml:space="preserve">С начала этого года ЦБР активно принимал меры для стабилизации внутреннего валютного рынка. Они были направлены главным образом не на прямое вмешательство в ход валютных торгов, что привело бы к быстрому истощению золотовалютных резервов, а на сокращение неоправданно высокого спроса на иностранную валюту путем связывания избыточной рублевой ликвидности. В этих целях Банк России увеличил норму обязательных резервов и снизил ставку рефинансирования. 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 xml:space="preserve"> Но июньский всплеск инфляции напомнил, что ситуация в российской экономике, несмотря на все положительные тенденции, остается неустойчивой. Потребительские цены в июне выросли на 2,6%, и это больше, чем инфляция за февраль, март и апрель вместе взятые. По итогам полугодия рост потребительских цен составил 9,5%, что заметно усложнило задачу удержать годовую инфляцию в рамках запланированных в бюджете 18%.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В прежние годы инфляция обычно была следствием необеспеченной эмиссии или падения курса рубля. И сейчас главной причиной роста цен является увеличение рублевой массы, однако, это увеличение вынужденное: Банку России приходится, чтобы не допустить укрепления рубля, покупать доллары, насыщая экономику рублями, обеспеченными твердой валютой.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С начала года Банк России купил таким образом около 8,5 млрд. долларов. Если бы он воздержался от покупок, курс доллара вполне мог бы упасть до 25-26 рублей. Повышение же курса рубля чревато снижением конкурентоспособности российских товаров на внутреннем рынке и вполне может поставить под угрозу и без того не слишком устойчивый экономический рост в стране.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Новое повышение норм обязательного резервирования для банков ударит по слабой российской банковской системе, особенно по небольшим региональным банкам, и эффект от этого повышения скорее всего будет незначительным. Самый действенный вариант - это стимулирование внутреннего спроса на рубли. Другими словами, создание таких условий, когда россияне не будут «бежать от рублей», стремясь как можно быстрее их истратить на приобретение товаров или иностранной валюты. А это возможно только при стабильном курсе рубля и низкой инфляции.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Среди косвенных внебюджетных источников восстановления жизнеспособности российских банков важное место принадлежит использованию сбережений населения. Необходимо восстановить доверие частных и корпоративных вкладчиков к банковской системе. Важный шаг в этом направлении – учреждение Федеральной корпорации по страхованию депозитов. Подобные компании действуют во многих странах мира.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 xml:space="preserve">Россия еще не исчерпала возможности безопасного использования ресурсов иностранного банковского капитала. На 1 марта 2000 года доля иностранного капитала в российской банковской системе составила всего 14%, в то время как нерезиденты контролируют в Венгрии – 50% совокупного капитала банковской системы, в Чехии – 25%. То есть, увеличение этой доли на до 20-25% могло бы также решить некоторые финансовые проблемы.  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Возможность улучшения ситуации в стране во многом зависит от внешних факторов – сохранения благоприятной конъюнктуры на мировых рынках энергоносителей и неэнергетических товаров, составляющих основу российского экспорта. При существующей конъюнктуре товарных рынков можно ожидать снижения мировых цен на нефть, а также на ряд металлов  – считают аналитики.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Таким образом, можно сделать вывод о том, денежно-кредитная политика на 2000 год оказалась слишком оптимистичной. Достигнутый экономический рост был вызван не столько улучшением состояния в российском реальном секторе, сколько высокими ценами на энергоносители на мировом рынке. И прирост ВВП дала разница между ценой нефти, заложенной в бюджете, и реальными ценами.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Также не удалось заметно снизить инфляцию, и безработица тоже осталась высокой.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Очень серьезной проблемой остается отток капитала из страны. По сравнению с прошлыми годами он увеличился в полтора раза. Так, за 1999 год было вывезено 18,9 млрд. долларов США. По мнению некоторых исследователей, «бегство» капитала происходит из-за отсутствия в России механизма легализации высоких доходов. Но у этой проблемы есть и другой аспект: во многих случаях наличие вкладов в иностранных банках спасало страны во время финансовых кризисов. Так что, это очень спорный вопрос.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 xml:space="preserve">Цены на нефть хоть и начинают снижаться, но все равно держатся на достаточно высоком уровне. Это позволяет с высокой степенью уверенности утверждать, что внешнеторговое сальдо России будет положительным.  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Курс национальной валюты в 2001 году будет плавающим, в силу чего Банк России не намерен фиксировать какие-либо предельные значения валютного коридора. Единственное обязательство, которое взял на себя Центробанк в отношении валютных курсов - это смягчение возможных резких колебаний. Курс рубля, согласно позиции Центробанка, будет зависеть от внешнеторгового баланса страны и от конъюнктуры внешних рынков. Именно эти факторы будут определять валютную политику Банка России.</w:t>
      </w:r>
    </w:p>
    <w:p w:rsidR="007F0286" w:rsidRDefault="007F0286">
      <w:pPr>
        <w:pStyle w:val="a7"/>
        <w:rPr>
          <w:sz w:val="24"/>
        </w:rPr>
      </w:pPr>
      <w:r>
        <w:rPr>
          <w:sz w:val="24"/>
        </w:rPr>
        <w:t xml:space="preserve">Внимание привлекло прозвучавшее заявление главы Банка России. Геращенко заявил, что среднегодовой курс рубля в 2001 году не должен превысить 30 рублей за доллар. Кроме того, глава ЦБР сообщил, что, инфляция в 2001 году составит 12-14%, а денежная база увеличится примерно на 23%. Такие цифры указаны в основных направлениях денежно-кредитной политики России на 2001 год. </w:t>
      </w:r>
    </w:p>
    <w:p w:rsidR="007F0286" w:rsidRDefault="007F0286">
      <w:pPr>
        <w:pStyle w:val="a7"/>
        <w:rPr>
          <w:sz w:val="24"/>
        </w:rPr>
      </w:pPr>
    </w:p>
    <w:p w:rsidR="007F0286" w:rsidRDefault="007F0286">
      <w:pPr>
        <w:pStyle w:val="1"/>
      </w:pPr>
      <w:bookmarkStart w:id="16" w:name="_Toc500860643"/>
      <w:r>
        <w:t>Заключение.</w:t>
      </w:r>
      <w:bookmarkEnd w:id="16"/>
    </w:p>
    <w:p w:rsidR="007F0286" w:rsidRDefault="007F0286">
      <w:pPr>
        <w:pStyle w:val="a7"/>
        <w:rPr>
          <w:sz w:val="24"/>
        </w:rPr>
      </w:pP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>Итак, мы видим, что перед Центральным банком России стоит грандиозная задача восстановления и оптимизации банковской системы, проведение денежно-кредитной политики, исключительная важность которой в настоящее время обусловлена инфляционными проблемами.</w:t>
      </w:r>
    </w:p>
    <w:p w:rsidR="007F0286" w:rsidRDefault="007F0286">
      <w:pPr>
        <w:pStyle w:val="a7"/>
        <w:ind w:firstLine="709"/>
        <w:rPr>
          <w:sz w:val="24"/>
        </w:rPr>
      </w:pPr>
      <w:r>
        <w:rPr>
          <w:sz w:val="24"/>
        </w:rPr>
        <w:t xml:space="preserve">Но не стоит забывать, что денежно-кредитная политика эффективна лишь в сочетании с другими составляющими единой финансовой политики государства и не способна обеспечить долгосрочный эффект экономического роста. Долгосрочного эффекта можно достичь лишь с помощью эффективной инвестиционной политики, для которой требуется создание комплекса благоприятных условий в краткосрочный период. Это и должны обеспечить денежно-кредитная и фискальная политика государства.  </w:t>
      </w:r>
    </w:p>
    <w:p w:rsidR="007F0286" w:rsidRDefault="007F0286">
      <w:pPr>
        <w:pStyle w:val="1"/>
      </w:pPr>
      <w:bookmarkStart w:id="17" w:name="_Toc451272983"/>
      <w:bookmarkStart w:id="18" w:name="_Toc500860644"/>
    </w:p>
    <w:p w:rsidR="007F0286" w:rsidRDefault="007F0286">
      <w:pPr>
        <w:pStyle w:val="1"/>
      </w:pPr>
    </w:p>
    <w:p w:rsidR="007F0286" w:rsidRDefault="007F0286">
      <w:pPr>
        <w:pStyle w:val="1"/>
      </w:pPr>
    </w:p>
    <w:p w:rsidR="007F0286" w:rsidRDefault="007F0286">
      <w:pPr>
        <w:pStyle w:val="1"/>
      </w:pPr>
    </w:p>
    <w:p w:rsidR="007F0286" w:rsidRDefault="007F0286">
      <w:pPr>
        <w:pStyle w:val="1"/>
      </w:pPr>
    </w:p>
    <w:p w:rsidR="007F0286" w:rsidRDefault="007F0286">
      <w:pPr>
        <w:pStyle w:val="1"/>
      </w:pPr>
    </w:p>
    <w:p w:rsidR="007F0286" w:rsidRDefault="007F0286">
      <w:pPr>
        <w:pStyle w:val="1"/>
      </w:pPr>
    </w:p>
    <w:p w:rsidR="007F0286" w:rsidRDefault="007F0286">
      <w:pPr>
        <w:pStyle w:val="a7"/>
      </w:pPr>
    </w:p>
    <w:p w:rsidR="007F0286" w:rsidRDefault="007F0286">
      <w:pPr>
        <w:pStyle w:val="a7"/>
      </w:pPr>
    </w:p>
    <w:p w:rsidR="007F0286" w:rsidRDefault="007F0286">
      <w:pPr>
        <w:pStyle w:val="a7"/>
      </w:pPr>
    </w:p>
    <w:p w:rsidR="007F0286" w:rsidRDefault="007F0286">
      <w:pPr>
        <w:pStyle w:val="a7"/>
      </w:pPr>
    </w:p>
    <w:p w:rsidR="007F0286" w:rsidRDefault="007F0286">
      <w:pPr>
        <w:pStyle w:val="a7"/>
      </w:pPr>
    </w:p>
    <w:p w:rsidR="007F0286" w:rsidRDefault="007F0286">
      <w:pPr>
        <w:pStyle w:val="1"/>
      </w:pPr>
    </w:p>
    <w:p w:rsidR="007F0286" w:rsidRDefault="007F0286"/>
    <w:p w:rsidR="007F0286" w:rsidRDefault="007F0286"/>
    <w:p w:rsidR="007F0286" w:rsidRDefault="007F0286"/>
    <w:p w:rsidR="007F0286" w:rsidRDefault="007F0286">
      <w:pPr>
        <w:pStyle w:val="a7"/>
      </w:pPr>
    </w:p>
    <w:p w:rsidR="007F0286" w:rsidRDefault="007F0286">
      <w:pPr>
        <w:pStyle w:val="a7"/>
      </w:pPr>
    </w:p>
    <w:p w:rsidR="007F0286" w:rsidRDefault="007F0286">
      <w:pPr>
        <w:pStyle w:val="1"/>
      </w:pPr>
      <w:r>
        <w:t>Список использованной литературы.</w:t>
      </w:r>
      <w:bookmarkEnd w:id="17"/>
      <w:bookmarkEnd w:id="18"/>
    </w:p>
    <w:p w:rsidR="007F0286" w:rsidRDefault="007F0286">
      <w:pPr>
        <w:pStyle w:val="a3"/>
        <w:spacing w:line="360" w:lineRule="auto"/>
        <w:rPr>
          <w:rFonts w:ascii="Bookman Old Style" w:hAnsi="Bookman Old Style"/>
          <w:sz w:val="24"/>
        </w:rPr>
      </w:pPr>
    </w:p>
    <w:p w:rsidR="007F0286" w:rsidRDefault="007F0286">
      <w:pPr>
        <w:pStyle w:val="a3"/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Федеральный закон «О центральном банке Российской Федерации (Банке России)».</w:t>
      </w:r>
    </w:p>
    <w:p w:rsidR="007F0286" w:rsidRDefault="007F0286">
      <w:pPr>
        <w:pStyle w:val="a3"/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Материалы официального сайта Центрального банка Российской Федерации.</w:t>
      </w:r>
    </w:p>
    <w:p w:rsidR="007F0286" w:rsidRDefault="007F0286">
      <w:pPr>
        <w:pStyle w:val="a3"/>
        <w:spacing w:line="36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</w:rPr>
        <w:t>Ресурсы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сети</w:t>
      </w:r>
      <w:r>
        <w:rPr>
          <w:rFonts w:ascii="Bookman Old Style" w:hAnsi="Bookman Old Style"/>
          <w:sz w:val="24"/>
          <w:lang w:val="en-US"/>
        </w:rPr>
        <w:t xml:space="preserve"> Internet.</w:t>
      </w:r>
    </w:p>
    <w:p w:rsidR="007F0286" w:rsidRDefault="007F0286">
      <w:pPr>
        <w:pStyle w:val="a3"/>
        <w:spacing w:line="360" w:lineRule="auto"/>
        <w:rPr>
          <w:rFonts w:ascii="Bookman Old Style" w:hAnsi="Bookman Old Style"/>
          <w:sz w:val="24"/>
          <w:lang w:val="en-US"/>
        </w:rPr>
      </w:pPr>
    </w:p>
    <w:p w:rsidR="007F0286" w:rsidRDefault="007F0286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Денежно-кредитная политика – 2000// Деньги и кредит. №12, 1999 г.</w:t>
      </w:r>
    </w:p>
    <w:p w:rsidR="007F0286" w:rsidRDefault="007F0286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Банковский портфель-1. М., 1994 г.</w:t>
      </w:r>
    </w:p>
    <w:p w:rsidR="007F0286" w:rsidRDefault="007F0286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Банковское дело. Под ред. В. И. Колесникова, Л. П. Кроливецкой. М., «Финансы и статистика», 1995 г.</w:t>
      </w:r>
    </w:p>
    <w:p w:rsidR="007F0286" w:rsidRDefault="007F0286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Банковское и кредитное дело. М., 1994 г.</w:t>
      </w:r>
    </w:p>
    <w:p w:rsidR="007F0286" w:rsidRDefault="007F0286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Большой экономический словарь. М., 1994 г.</w:t>
      </w:r>
    </w:p>
    <w:p w:rsidR="007F0286" w:rsidRDefault="007F0286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Геращенко В. В. Предварительные итоги 1999 года и основные задачи на 2000 год// Деньги и кредит. №1, 2000 г.</w:t>
      </w:r>
    </w:p>
    <w:p w:rsidR="007F0286" w:rsidRDefault="007F0286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Долан Э. Дж., Д. Е. Линдсей. Макроэкономика. С-Пб, «Литера плюс»,  1996 г.</w:t>
      </w:r>
    </w:p>
    <w:p w:rsidR="007F0286" w:rsidRDefault="007F0286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Макконнелл К. Р., Брю С. Л. Экономикс. Т. 1. М., 1997 г.</w:t>
      </w:r>
    </w:p>
    <w:p w:rsidR="007F0286" w:rsidRDefault="007F0286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 xml:space="preserve">Материалы </w:t>
      </w:r>
      <w:r>
        <w:rPr>
          <w:sz w:val="24"/>
          <w:lang w:val="en-US"/>
        </w:rPr>
        <w:t>X</w:t>
      </w:r>
      <w:r>
        <w:rPr>
          <w:sz w:val="24"/>
        </w:rPr>
        <w:t xml:space="preserve"> съезда АРБ// Деньги и кредит. №6, 2000 г.</w:t>
      </w:r>
    </w:p>
    <w:p w:rsidR="007F0286" w:rsidRDefault="007F0286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МБК – 2000// Деньги и кредит. №7, 2000 г.</w:t>
      </w:r>
    </w:p>
    <w:p w:rsidR="007F0286" w:rsidRDefault="007F0286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Моисеев С. Р. Анализ эффективности валютных интервенций Банка России// Банковское дело. №11, 2000 г.</w:t>
      </w:r>
    </w:p>
    <w:p w:rsidR="007F0286" w:rsidRDefault="007F0286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Пономарев Ю. В. Российские банки в международном сообществе// Деньги и кредит. №8, 2000 г.</w:t>
      </w:r>
    </w:p>
    <w:p w:rsidR="007F0286" w:rsidRDefault="007F0286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Рушайло П. Плати туда, не знают куда// Коммерсант. Деньги. №46 (299) от 22 ноября 2000 г.</w:t>
      </w:r>
    </w:p>
    <w:p w:rsidR="007F0286" w:rsidRDefault="007F0286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Саркисянц А. Г. О состоянии банковской системы и возможных направлениях ее реформирования// Банковское дело. №9, 2000 г.</w:t>
      </w:r>
    </w:p>
    <w:p w:rsidR="007F0286" w:rsidRDefault="007F0286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Тенденции экономического развития России в первом полугодии 2000 года// Деньги и кредит. №7, 2000 г.</w:t>
      </w:r>
    </w:p>
    <w:p w:rsidR="007F0286" w:rsidRDefault="007F0286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 xml:space="preserve">Турбанов А. В. Реструктуризация банковской системы: цели, инструменты, результаты// Банковское дело. №8, 2000 г. </w:t>
      </w:r>
    </w:p>
    <w:p w:rsidR="007F0286" w:rsidRDefault="007F0286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Финансы. Денежное обращение. Кредит. Под ред. Дробозиной. М., «Финансы», издательское объединение «Юнити», 1997 г.</w:t>
      </w:r>
    </w:p>
    <w:p w:rsidR="007F0286" w:rsidRDefault="007F0286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Фишер С., Дорнбуш Р., Шмалензи Р. Экономика. М., «Дело», 1993 г.</w:t>
      </w:r>
    </w:p>
    <w:p w:rsidR="007F0286" w:rsidRDefault="007F0286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Френкель А. А. Прогноз социально-экономического развития России на 2000 год// Банковское дело. №3, 2000 г.</w:t>
      </w:r>
      <w:bookmarkStart w:id="19" w:name="_GoBack"/>
      <w:bookmarkEnd w:id="19"/>
    </w:p>
    <w:sectPr w:rsidR="007F0286">
      <w:headerReference w:type="even" r:id="rId10"/>
      <w:headerReference w:type="default" r:id="rId11"/>
      <w:footerReference w:type="default" r:id="rId12"/>
      <w:pgSz w:w="12240" w:h="15840"/>
      <w:pgMar w:top="1418" w:right="1418" w:bottom="1418" w:left="1701" w:header="680" w:footer="624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286" w:rsidRDefault="007F0286">
      <w:r>
        <w:separator/>
      </w:r>
    </w:p>
  </w:endnote>
  <w:endnote w:type="continuationSeparator" w:id="0">
    <w:p w:rsidR="007F0286" w:rsidRDefault="007F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86" w:rsidRDefault="007F028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286" w:rsidRDefault="007F0286">
      <w:r>
        <w:separator/>
      </w:r>
    </w:p>
  </w:footnote>
  <w:footnote w:type="continuationSeparator" w:id="0">
    <w:p w:rsidR="007F0286" w:rsidRDefault="007F0286">
      <w:r>
        <w:continuationSeparator/>
      </w:r>
    </w:p>
  </w:footnote>
  <w:footnote w:id="1">
    <w:p w:rsidR="007F0286" w:rsidRDefault="007F0286">
      <w:pPr>
        <w:pStyle w:val="a3"/>
      </w:pPr>
      <w:r>
        <w:rPr>
          <w:rStyle w:val="a4"/>
          <w:rFonts w:ascii="Arial" w:hAnsi="Arial"/>
        </w:rPr>
        <w:footnoteRef/>
      </w:r>
      <w:r>
        <w:t xml:space="preserve"> [3], стр. 18.</w:t>
      </w:r>
    </w:p>
  </w:footnote>
  <w:footnote w:id="2">
    <w:p w:rsidR="007F0286" w:rsidRDefault="007F0286">
      <w:pPr>
        <w:pStyle w:val="a3"/>
      </w:pPr>
      <w:r>
        <w:rPr>
          <w:rStyle w:val="a4"/>
          <w:rFonts w:ascii="Arial" w:hAnsi="Arial"/>
        </w:rPr>
        <w:footnoteRef/>
      </w:r>
      <w:r>
        <w:t xml:space="preserve"> [17], стр. 351.</w:t>
      </w:r>
    </w:p>
  </w:footnote>
  <w:footnote w:id="3">
    <w:p w:rsidR="007F0286" w:rsidRDefault="007F0286">
      <w:pPr>
        <w:pStyle w:val="a3"/>
      </w:pPr>
      <w:r>
        <w:rPr>
          <w:rStyle w:val="a4"/>
          <w:rFonts w:ascii="Arial" w:hAnsi="Arial"/>
        </w:rPr>
        <w:footnoteRef/>
      </w:r>
      <w:r>
        <w:t xml:space="preserve"> [2], стр. 65.</w:t>
      </w:r>
    </w:p>
  </w:footnote>
  <w:footnote w:id="4">
    <w:p w:rsidR="007F0286" w:rsidRDefault="007F0286">
      <w:pPr>
        <w:pStyle w:val="a3"/>
      </w:pPr>
      <w:r>
        <w:rPr>
          <w:rStyle w:val="a4"/>
        </w:rPr>
        <w:footnoteRef/>
      </w:r>
      <w:r>
        <w:t xml:space="preserve"> [11], стр. 25.</w:t>
      </w:r>
    </w:p>
  </w:footnote>
  <w:footnote w:id="5">
    <w:p w:rsidR="007F0286" w:rsidRDefault="007F0286">
      <w:pPr>
        <w:pStyle w:val="a3"/>
      </w:pPr>
      <w:r>
        <w:rPr>
          <w:rStyle w:val="a4"/>
          <w:rFonts w:ascii="Arial" w:hAnsi="Arial"/>
        </w:rPr>
        <w:footnoteRef/>
      </w:r>
      <w:r>
        <w:t xml:space="preserve"> [2], стр. 38.</w:t>
      </w:r>
    </w:p>
  </w:footnote>
  <w:footnote w:id="6">
    <w:p w:rsidR="007F0286" w:rsidRDefault="007F0286">
      <w:pPr>
        <w:pStyle w:val="a3"/>
      </w:pPr>
      <w:r>
        <w:rPr>
          <w:rStyle w:val="a4"/>
        </w:rPr>
        <w:footnoteRef/>
      </w:r>
      <w:r>
        <w:t xml:space="preserve"> Анализ эффективности валютных интервенций ЦБР – в главе </w:t>
      </w:r>
      <w:r>
        <w:rPr>
          <w:lang w:val="en-US"/>
        </w:rPr>
        <w:t>II</w:t>
      </w:r>
      <w:r>
        <w:t>.</w:t>
      </w:r>
    </w:p>
  </w:footnote>
  <w:footnote w:id="7">
    <w:p w:rsidR="007F0286" w:rsidRDefault="007F0286">
      <w:pPr>
        <w:pStyle w:val="a3"/>
        <w:rPr>
          <w:sz w:val="19"/>
        </w:rPr>
      </w:pPr>
      <w:r>
        <w:rPr>
          <w:rStyle w:val="a4"/>
          <w:sz w:val="19"/>
        </w:rPr>
        <w:footnoteRef/>
      </w:r>
      <w:r>
        <w:rPr>
          <w:sz w:val="19"/>
        </w:rPr>
        <w:t xml:space="preserve"> [11], стр. 28.</w:t>
      </w:r>
    </w:p>
  </w:footnote>
  <w:footnote w:id="8">
    <w:p w:rsidR="007F0286" w:rsidRDefault="007F0286">
      <w:pPr>
        <w:pStyle w:val="a3"/>
        <w:rPr>
          <w:sz w:val="19"/>
        </w:rPr>
      </w:pPr>
      <w:r>
        <w:rPr>
          <w:rStyle w:val="a4"/>
          <w:sz w:val="19"/>
        </w:rPr>
        <w:footnoteRef/>
      </w:r>
      <w:r>
        <w:rPr>
          <w:sz w:val="19"/>
        </w:rPr>
        <w:t xml:space="preserve"> [16]. Стр. 8.</w:t>
      </w:r>
    </w:p>
  </w:footnote>
  <w:footnote w:id="9">
    <w:p w:rsidR="007F0286" w:rsidRDefault="007F0286">
      <w:pPr>
        <w:pStyle w:val="a3"/>
      </w:pPr>
      <w:r>
        <w:rPr>
          <w:rStyle w:val="a4"/>
        </w:rPr>
        <w:footnoteRef/>
      </w:r>
      <w:r>
        <w:t xml:space="preserve"> По показателю эффективности ЦБР занимает в мире 48-е место. Для сравнения, </w:t>
      </w:r>
      <w:r>
        <w:rPr>
          <w:lang w:val="en-US"/>
        </w:rPr>
        <w:t>Fed</w:t>
      </w:r>
      <w:r>
        <w:t xml:space="preserve"> (США) – 5-е. По данным Университета Джона Хопкинса.</w:t>
      </w:r>
    </w:p>
  </w:footnote>
  <w:footnote w:id="10">
    <w:p w:rsidR="007F0286" w:rsidRDefault="007F0286">
      <w:pPr>
        <w:pStyle w:val="a3"/>
      </w:pPr>
      <w:r>
        <w:rPr>
          <w:rStyle w:val="a4"/>
        </w:rPr>
        <w:footnoteRef/>
      </w:r>
      <w:r>
        <w:t xml:space="preserve"> </w:t>
      </w:r>
      <w:r>
        <w:rPr>
          <w:lang w:val="en-US"/>
        </w:rPr>
        <w:t>[9]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86" w:rsidRDefault="007F0286">
    <w:pPr>
      <w:pStyle w:val="ac"/>
      <w:framePr w:wrap="around" w:vAnchor="text" w:hAnchor="margin" w:xAlign="center" w:y="1"/>
      <w:rPr>
        <w:rStyle w:val="a6"/>
      </w:rPr>
    </w:pPr>
  </w:p>
  <w:p w:rsidR="007F0286" w:rsidRDefault="007F028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86" w:rsidRDefault="00842E5D">
    <w:pPr>
      <w:pStyle w:val="ac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7F0286" w:rsidRDefault="007F028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E19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E417A6"/>
    <w:multiLevelType w:val="hybridMultilevel"/>
    <w:tmpl w:val="C4B02D5E"/>
    <w:lvl w:ilvl="0" w:tplc="1D64DC7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925378"/>
    <w:multiLevelType w:val="singleLevel"/>
    <w:tmpl w:val="0298D3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984791"/>
    <w:multiLevelType w:val="singleLevel"/>
    <w:tmpl w:val="0298D3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45F25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67D5C5C"/>
    <w:multiLevelType w:val="hybridMultilevel"/>
    <w:tmpl w:val="22AC6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F925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E0F66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5817B6"/>
    <w:multiLevelType w:val="hybridMultilevel"/>
    <w:tmpl w:val="95D20952"/>
    <w:lvl w:ilvl="0" w:tplc="1D64DC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1443EE"/>
    <w:multiLevelType w:val="singleLevel"/>
    <w:tmpl w:val="D5A0E3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DB4075"/>
    <w:multiLevelType w:val="singleLevel"/>
    <w:tmpl w:val="F588189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F592953"/>
    <w:multiLevelType w:val="singleLevel"/>
    <w:tmpl w:val="0298D3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0C46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40E2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1DF5A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1E93B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2560F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9544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9D657B4"/>
    <w:multiLevelType w:val="hybridMultilevel"/>
    <w:tmpl w:val="A0FEC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9D77E2"/>
    <w:multiLevelType w:val="singleLevel"/>
    <w:tmpl w:val="D5A0E3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4D66B40"/>
    <w:multiLevelType w:val="singleLevel"/>
    <w:tmpl w:val="D5A0E3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89B0CC4"/>
    <w:multiLevelType w:val="hybridMultilevel"/>
    <w:tmpl w:val="C3A06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052279"/>
    <w:multiLevelType w:val="singleLevel"/>
    <w:tmpl w:val="0298D3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0074717"/>
    <w:multiLevelType w:val="singleLevel"/>
    <w:tmpl w:val="0298D3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2E10C84"/>
    <w:multiLevelType w:val="hybridMultilevel"/>
    <w:tmpl w:val="6BA87C4C"/>
    <w:lvl w:ilvl="0" w:tplc="1D64DC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C40536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FA6A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A324A80"/>
    <w:multiLevelType w:val="hybridMultilevel"/>
    <w:tmpl w:val="8B8AC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4C06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15E71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695735A"/>
    <w:multiLevelType w:val="hybridMultilevel"/>
    <w:tmpl w:val="2F482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B4414D"/>
    <w:multiLevelType w:val="singleLevel"/>
    <w:tmpl w:val="0298D3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B217D50"/>
    <w:multiLevelType w:val="singleLevel"/>
    <w:tmpl w:val="0298D3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E710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5"/>
  </w:num>
  <w:num w:numId="2">
    <w:abstractNumId w:val="0"/>
  </w:num>
  <w:num w:numId="3">
    <w:abstractNumId w:val="15"/>
  </w:num>
  <w:num w:numId="4">
    <w:abstractNumId w:val="7"/>
  </w:num>
  <w:num w:numId="5">
    <w:abstractNumId w:val="6"/>
  </w:num>
  <w:num w:numId="6">
    <w:abstractNumId w:val="16"/>
  </w:num>
  <w:num w:numId="7">
    <w:abstractNumId w:val="9"/>
  </w:num>
  <w:num w:numId="8">
    <w:abstractNumId w:val="32"/>
  </w:num>
  <w:num w:numId="9">
    <w:abstractNumId w:val="13"/>
  </w:num>
  <w:num w:numId="10">
    <w:abstractNumId w:val="12"/>
  </w:num>
  <w:num w:numId="11">
    <w:abstractNumId w:val="20"/>
  </w:num>
  <w:num w:numId="12">
    <w:abstractNumId w:val="19"/>
  </w:num>
  <w:num w:numId="13">
    <w:abstractNumId w:val="27"/>
  </w:num>
  <w:num w:numId="14">
    <w:abstractNumId w:val="10"/>
  </w:num>
  <w:num w:numId="15">
    <w:abstractNumId w:val="31"/>
  </w:num>
  <w:num w:numId="16">
    <w:abstractNumId w:val="11"/>
  </w:num>
  <w:num w:numId="17">
    <w:abstractNumId w:val="4"/>
  </w:num>
  <w:num w:numId="18">
    <w:abstractNumId w:val="22"/>
  </w:num>
  <w:num w:numId="19">
    <w:abstractNumId w:val="14"/>
  </w:num>
  <w:num w:numId="20">
    <w:abstractNumId w:val="3"/>
  </w:num>
  <w:num w:numId="21">
    <w:abstractNumId w:val="17"/>
  </w:num>
  <w:num w:numId="22">
    <w:abstractNumId w:val="30"/>
  </w:num>
  <w:num w:numId="23">
    <w:abstractNumId w:val="23"/>
  </w:num>
  <w:num w:numId="24">
    <w:abstractNumId w:val="2"/>
  </w:num>
  <w:num w:numId="25">
    <w:abstractNumId w:val="28"/>
  </w:num>
  <w:num w:numId="26">
    <w:abstractNumId w:val="8"/>
  </w:num>
  <w:num w:numId="27">
    <w:abstractNumId w:val="1"/>
  </w:num>
  <w:num w:numId="28">
    <w:abstractNumId w:val="24"/>
  </w:num>
  <w:num w:numId="29">
    <w:abstractNumId w:val="21"/>
  </w:num>
  <w:num w:numId="30">
    <w:abstractNumId w:val="18"/>
  </w:num>
  <w:num w:numId="31">
    <w:abstractNumId w:val="26"/>
  </w:num>
  <w:num w:numId="32">
    <w:abstractNumId w:val="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hideSpellingErrors/>
  <w:hideGrammaticalErrors/>
  <w:activeWritingStyle w:appName="MSWord" w:lang="ru-RU" w:vendorID="1" w:dllVersion="512" w:checkStyle="0"/>
  <w:activeWritingStyle w:appName="MSWord" w:lang="en-US" w:vendorID="8" w:dllVersion="513" w:checkStyle="1"/>
  <w:revisionView w:markup="0"/>
  <w:doNotTrackMoves/>
  <w:doNotTrackFormatting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2E5D"/>
    <w:rsid w:val="002F65DC"/>
    <w:rsid w:val="007F0286"/>
    <w:rsid w:val="00842E5D"/>
    <w:rsid w:val="00A4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E81EE165-E6E5-43A8-9DBF-2AE37638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" w:hAnsi="Arial"/>
      <w:snapToGrid w:val="0"/>
    </w:rPr>
  </w:style>
  <w:style w:type="paragraph" w:styleId="1">
    <w:name w:val="heading 1"/>
    <w:basedOn w:val="a"/>
    <w:next w:val="a"/>
    <w:autoRedefine/>
    <w:qFormat/>
    <w:pPr>
      <w:keepNext/>
      <w:spacing w:before="240" w:after="60" w:line="360" w:lineRule="auto"/>
      <w:jc w:val="center"/>
      <w:outlineLvl w:val="0"/>
    </w:pPr>
    <w:rPr>
      <w:rFonts w:ascii="Monotype Corsiva" w:hAnsi="Monotype Corsiva"/>
      <w:b/>
      <w:color w:val="800080"/>
      <w:kern w:val="28"/>
      <w:sz w:val="40"/>
    </w:rPr>
  </w:style>
  <w:style w:type="paragraph" w:styleId="2">
    <w:name w:val="heading 2"/>
    <w:basedOn w:val="a"/>
    <w:next w:val="a"/>
    <w:autoRedefine/>
    <w:qFormat/>
    <w:pPr>
      <w:keepNext/>
      <w:spacing w:line="360" w:lineRule="auto"/>
      <w:outlineLvl w:val="1"/>
    </w:pPr>
    <w:rPr>
      <w:rFonts w:ascii="Bookman Old Style" w:hAnsi="Bookman Old Style"/>
      <w:bCs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rFonts w:ascii="Times New Roman" w:hAnsi="Times New Roman"/>
    </w:rPr>
  </w:style>
  <w:style w:type="character" w:styleId="a4">
    <w:name w:val="footnote reference"/>
    <w:semiHidden/>
    <w:rPr>
      <w:rFonts w:ascii="Times New Roman" w:hAnsi="Times New Roman"/>
      <w:vertAlign w:val="superscript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spacing w:line="360" w:lineRule="auto"/>
      <w:ind w:firstLine="851"/>
    </w:pPr>
    <w:rPr>
      <w:rFonts w:ascii="Bookman Old Style" w:hAnsi="Bookman Old Style"/>
      <w:sz w:val="22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10">
    <w:name w:val="toc 1"/>
    <w:basedOn w:val="a"/>
    <w:next w:val="a"/>
    <w:autoRedefine/>
    <w:semiHidden/>
    <w:pPr>
      <w:spacing w:before="120"/>
    </w:pPr>
    <w:rPr>
      <w:rFonts w:ascii="Times New Roman" w:hAnsi="Times New Roman"/>
      <w:b/>
      <w:bCs/>
      <w:i/>
      <w:iCs/>
      <w:szCs w:val="28"/>
    </w:rPr>
  </w:style>
  <w:style w:type="paragraph" w:styleId="20">
    <w:name w:val="toc 2"/>
    <w:basedOn w:val="a"/>
    <w:next w:val="a"/>
    <w:autoRedefine/>
    <w:semiHidden/>
    <w:pPr>
      <w:spacing w:before="120"/>
      <w:ind w:left="200"/>
    </w:pPr>
    <w:rPr>
      <w:rFonts w:ascii="Times New Roman" w:hAnsi="Times New Roman"/>
      <w:b/>
      <w:bCs/>
      <w:szCs w:val="26"/>
    </w:rPr>
  </w:style>
  <w:style w:type="paragraph" w:styleId="3">
    <w:name w:val="toc 3"/>
    <w:basedOn w:val="a"/>
    <w:next w:val="a"/>
    <w:autoRedefine/>
    <w:semiHidden/>
    <w:pPr>
      <w:ind w:left="400"/>
    </w:pPr>
    <w:rPr>
      <w:rFonts w:ascii="Times New Roman" w:hAnsi="Times New Roman"/>
      <w:szCs w:val="24"/>
    </w:rPr>
  </w:style>
  <w:style w:type="paragraph" w:styleId="4">
    <w:name w:val="toc 4"/>
    <w:basedOn w:val="a"/>
    <w:next w:val="a"/>
    <w:autoRedefine/>
    <w:semiHidden/>
    <w:pPr>
      <w:ind w:left="600"/>
    </w:pPr>
    <w:rPr>
      <w:rFonts w:ascii="Times New Roman" w:hAnsi="Times New Roman"/>
      <w:szCs w:val="24"/>
    </w:rPr>
  </w:style>
  <w:style w:type="paragraph" w:styleId="5">
    <w:name w:val="toc 5"/>
    <w:basedOn w:val="a"/>
    <w:next w:val="a"/>
    <w:autoRedefine/>
    <w:semiHidden/>
    <w:pPr>
      <w:ind w:left="800"/>
    </w:pPr>
    <w:rPr>
      <w:rFonts w:ascii="Times New Roman" w:hAnsi="Times New Roman"/>
      <w:szCs w:val="24"/>
    </w:rPr>
  </w:style>
  <w:style w:type="paragraph" w:styleId="6">
    <w:name w:val="toc 6"/>
    <w:basedOn w:val="a"/>
    <w:next w:val="a"/>
    <w:autoRedefine/>
    <w:semiHidden/>
    <w:pPr>
      <w:ind w:left="1000"/>
    </w:pPr>
    <w:rPr>
      <w:rFonts w:ascii="Times New Roman" w:hAnsi="Times New Roman"/>
      <w:szCs w:val="24"/>
    </w:rPr>
  </w:style>
  <w:style w:type="paragraph" w:styleId="7">
    <w:name w:val="toc 7"/>
    <w:basedOn w:val="a"/>
    <w:next w:val="a"/>
    <w:autoRedefine/>
    <w:semiHidden/>
    <w:pPr>
      <w:ind w:left="1200"/>
    </w:pPr>
    <w:rPr>
      <w:rFonts w:ascii="Times New Roman" w:hAnsi="Times New Roman"/>
      <w:szCs w:val="24"/>
    </w:rPr>
  </w:style>
  <w:style w:type="paragraph" w:styleId="8">
    <w:name w:val="toc 8"/>
    <w:basedOn w:val="a"/>
    <w:next w:val="a"/>
    <w:autoRedefine/>
    <w:semiHidden/>
    <w:pPr>
      <w:ind w:left="1400"/>
    </w:pPr>
    <w:rPr>
      <w:rFonts w:ascii="Times New Roman" w:hAnsi="Times New Roman"/>
      <w:szCs w:val="24"/>
    </w:rPr>
  </w:style>
  <w:style w:type="paragraph" w:styleId="9">
    <w:name w:val="toc 9"/>
    <w:basedOn w:val="a"/>
    <w:next w:val="a"/>
    <w:autoRedefine/>
    <w:semiHidden/>
    <w:pPr>
      <w:ind w:left="1600"/>
    </w:pPr>
    <w:rPr>
      <w:rFonts w:ascii="Times New Roman" w:hAnsi="Times New Roman"/>
      <w:szCs w:val="24"/>
    </w:rPr>
  </w:style>
  <w:style w:type="paragraph" w:styleId="a9">
    <w:name w:val="Body Text"/>
    <w:basedOn w:val="a"/>
    <w:semiHidden/>
    <w:pPr>
      <w:widowControl/>
      <w:spacing w:before="100" w:line="360" w:lineRule="auto"/>
    </w:pPr>
    <w:rPr>
      <w:rFonts w:ascii="Bookman Old Style" w:hAnsi="Bookman Old Style"/>
      <w:b/>
      <w:snapToGrid/>
      <w:sz w:val="24"/>
      <w:u w:val="single"/>
    </w:rPr>
  </w:style>
  <w:style w:type="paragraph" w:styleId="21">
    <w:name w:val="Body Text Indent 2"/>
    <w:basedOn w:val="a"/>
    <w:semiHidden/>
    <w:pPr>
      <w:widowControl/>
      <w:spacing w:line="360" w:lineRule="auto"/>
      <w:ind w:left="40" w:firstLine="811"/>
    </w:pPr>
    <w:rPr>
      <w:rFonts w:ascii="Bookman Old Style" w:hAnsi="Bookman Old Style"/>
      <w:snapToGrid/>
      <w:sz w:val="22"/>
    </w:rPr>
  </w:style>
  <w:style w:type="paragraph" w:styleId="30">
    <w:name w:val="Body Text Indent 3"/>
    <w:basedOn w:val="a"/>
    <w:semiHidden/>
    <w:pPr>
      <w:widowControl/>
      <w:spacing w:line="360" w:lineRule="auto"/>
      <w:ind w:firstLine="993"/>
    </w:pPr>
    <w:rPr>
      <w:rFonts w:ascii="Bookman Old Style" w:hAnsi="Bookman Old Style"/>
      <w:snapToGrid/>
      <w:sz w:val="22"/>
    </w:rPr>
  </w:style>
  <w:style w:type="character" w:styleId="aa">
    <w:name w:val="Hyperlink"/>
    <w:semiHidden/>
    <w:rPr>
      <w:color w:val="0000FF"/>
      <w:u w:val="single"/>
    </w:rPr>
  </w:style>
  <w:style w:type="paragraph" w:styleId="ab">
    <w:name w:val="Normal (Web)"/>
    <w:basedOn w:val="a"/>
    <w:semiHidden/>
    <w:pPr>
      <w:widowControl/>
      <w:ind w:firstLine="400"/>
      <w:jc w:val="both"/>
    </w:pPr>
    <w:rPr>
      <w:rFonts w:ascii="Times New Roman" w:hAnsi="Times New Roman"/>
      <w:snapToGrid/>
      <w:sz w:val="24"/>
      <w:szCs w:val="24"/>
    </w:rPr>
  </w:style>
  <w:style w:type="paragraph" w:styleId="ac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5276</Words>
  <Characters>30079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 </Company>
  <LinksUpToDate>false</LinksUpToDate>
  <CharactersWithSpaces>35285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1</dc:creator>
  <cp:keywords/>
  <cp:lastModifiedBy>Irina</cp:lastModifiedBy>
  <cp:revision>2</cp:revision>
  <cp:lastPrinted>2000-12-07T20:43:00Z</cp:lastPrinted>
  <dcterms:created xsi:type="dcterms:W3CDTF">2014-08-06T16:06:00Z</dcterms:created>
  <dcterms:modified xsi:type="dcterms:W3CDTF">2014-08-06T16:06:00Z</dcterms:modified>
</cp:coreProperties>
</file>