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42" w:type="dxa"/>
        <w:tblLayout w:type="fixed"/>
        <w:tblCellMar>
          <w:top w:w="15" w:type="dxa"/>
          <w:left w:w="15" w:type="dxa"/>
          <w:bottom w:w="15" w:type="dxa"/>
          <w:right w:w="15" w:type="dxa"/>
        </w:tblCellMar>
        <w:tblLook w:val="0000" w:firstRow="0" w:lastRow="0" w:firstColumn="0" w:lastColumn="0" w:noHBand="0" w:noVBand="0"/>
      </w:tblPr>
      <w:tblGrid>
        <w:gridCol w:w="9854"/>
      </w:tblGrid>
      <w:tr w:rsidR="00530D09">
        <w:tc>
          <w:tcPr>
            <w:tcW w:w="9854" w:type="dxa"/>
            <w:shd w:val="clear" w:color="auto" w:fill="000080"/>
            <w:vAlign w:val="center"/>
          </w:tcPr>
          <w:p w:rsidR="00530D09" w:rsidRDefault="00F034C6">
            <w:pPr>
              <w:ind w:firstLine="567"/>
              <w:jc w:val="center"/>
              <w:rPr>
                <w:b/>
                <w:bCs/>
                <w:i/>
                <w:iCs/>
                <w:color w:val="FFFFFF"/>
                <w:sz w:val="28"/>
                <w:szCs w:val="28"/>
              </w:rPr>
            </w:pPr>
            <w:r>
              <w:rPr>
                <w:b/>
                <w:bCs/>
                <w:i/>
                <w:iCs/>
                <w:color w:val="FFFFFF"/>
                <w:sz w:val="28"/>
                <w:szCs w:val="28"/>
              </w:rPr>
              <w:t>Резолюция дискуссии за круглым столом</w:t>
            </w:r>
            <w:r>
              <w:rPr>
                <w:b/>
                <w:bCs/>
                <w:i/>
                <w:iCs/>
                <w:color w:val="FFFFFF"/>
                <w:sz w:val="28"/>
                <w:szCs w:val="28"/>
              </w:rPr>
              <w:br/>
              <w:t>"Международный опыт развития экологически эффективного бизнеса"</w:t>
            </w:r>
          </w:p>
        </w:tc>
      </w:tr>
    </w:tbl>
    <w:p w:rsidR="00530D09" w:rsidRDefault="00530D09">
      <w:pPr>
        <w:ind w:firstLine="567"/>
        <w:rPr>
          <w:color w:val="000000"/>
          <w:sz w:val="24"/>
          <w:szCs w:val="24"/>
        </w:rPr>
      </w:pPr>
    </w:p>
    <w:p w:rsidR="00530D09" w:rsidRDefault="00F034C6">
      <w:pPr>
        <w:pStyle w:val="11"/>
        <w:ind w:firstLine="567"/>
      </w:pPr>
      <w:r>
        <w:t>Сегодняшняя экологическая ситуация в России и тенденции ее изменения во многом определяются характером деятельности экономических объектов. Командная система управления прошлых лет не смогла обеспечить минимизацию воздействия производства на окружающую среду. Все более очевидной становится необходимость поиска новых путей и подходов к развитию экологически эффективного бизнеса. Основным из таких путей в мире общепризнан экологический менеджмент. В Повестке дня на XXI век, принятой в Рио-де-Жанейро в 1992 году, подчеркивается, что "экологический менеджмент следует отнести к ключевой доминанте устойчивого развития и одновременно к высшим приоритетам промышленной деятельности и предпринимательства".</w:t>
      </w:r>
    </w:p>
    <w:p w:rsidR="00530D09" w:rsidRDefault="00F034C6">
      <w:pPr>
        <w:pStyle w:val="11"/>
        <w:ind w:firstLine="567"/>
      </w:pPr>
      <w:r>
        <w:t>В настоящее время ряд компаний России совместно с государственными природоохранными органами на местах, консалтинговыми фирмами, общественными организациями предпринимает усилия по развитию добровольной экологической деятельности и использованию принципов международных стандартов ISO 14000 в российских условиях.</w:t>
      </w:r>
    </w:p>
    <w:p w:rsidR="00530D09" w:rsidRDefault="00F034C6">
      <w:pPr>
        <w:pStyle w:val="11"/>
        <w:ind w:firstLine="567"/>
      </w:pPr>
      <w:r>
        <w:t>Учитывая богатый международный опыт компаний-экологических лидеров и первый положительный опыт российских предпринимателей, в ходе дискуссии за круглым столом было признано целесообразным:</w:t>
      </w:r>
    </w:p>
    <w:p w:rsidR="00530D09" w:rsidRDefault="00F034C6">
      <w:pPr>
        <w:numPr>
          <w:ilvl w:val="0"/>
          <w:numId w:val="1"/>
        </w:numPr>
        <w:tabs>
          <w:tab w:val="left" w:pos="1287"/>
        </w:tabs>
        <w:spacing w:before="100" w:after="100"/>
        <w:ind w:left="1287"/>
        <w:rPr>
          <w:sz w:val="24"/>
          <w:szCs w:val="24"/>
        </w:rPr>
      </w:pPr>
      <w:r>
        <w:rPr>
          <w:sz w:val="24"/>
          <w:szCs w:val="24"/>
        </w:rPr>
        <w:t>обратиться к руководителям Госкомэкологии РФ, Министерства природных ресурсов РФ, министерств и ведомств, заинтересованных в развитии экологически эффективного бизнеса, с просьбой о поддержке и создании благоприятных условий (в том числе, экономических льгот), необходимых для мотивации предприятий, активно занимающихся инициативной экологической деятельностью;</w:t>
      </w:r>
    </w:p>
    <w:p w:rsidR="00530D09" w:rsidRDefault="00F034C6">
      <w:pPr>
        <w:numPr>
          <w:ilvl w:val="0"/>
          <w:numId w:val="1"/>
        </w:numPr>
        <w:tabs>
          <w:tab w:val="left" w:pos="1287"/>
        </w:tabs>
        <w:spacing w:before="100" w:after="100"/>
        <w:ind w:left="1287"/>
        <w:rPr>
          <w:sz w:val="24"/>
          <w:szCs w:val="24"/>
        </w:rPr>
      </w:pPr>
      <w:r>
        <w:rPr>
          <w:sz w:val="24"/>
          <w:szCs w:val="24"/>
        </w:rPr>
        <w:t>просить Госкомэкологию РФ и Госстандарт РФ обратить особое внимание на опыт применения принципов стандартов ISO 14000 в России и рассмотреть возможности его популяризации, дальнейшего развития и инициирования пилотных проектов в области экологического менеджмента в регионах Российской Федерации, а также принятия указанных стандартов в качестве национальных (с учетом опыта внедрения стандартов ISO 9000);</w:t>
      </w:r>
    </w:p>
    <w:p w:rsidR="00530D09" w:rsidRDefault="00F034C6">
      <w:pPr>
        <w:numPr>
          <w:ilvl w:val="0"/>
          <w:numId w:val="1"/>
        </w:numPr>
        <w:tabs>
          <w:tab w:val="left" w:pos="1287"/>
        </w:tabs>
        <w:spacing w:before="100" w:after="100"/>
        <w:ind w:left="1287"/>
        <w:rPr>
          <w:sz w:val="24"/>
          <w:szCs w:val="24"/>
        </w:rPr>
      </w:pPr>
      <w:r>
        <w:rPr>
          <w:sz w:val="24"/>
          <w:szCs w:val="24"/>
        </w:rPr>
        <w:t>обратиться в Федеральное Собрание РФ с просьбой об ускорении разработки законодательной базы для развития работ по экологической сертификации и экологическому аудированию (в том числе, с использованием принципов, заложенных в стандартах ISO 14000);</w:t>
      </w:r>
    </w:p>
    <w:p w:rsidR="00530D09" w:rsidRDefault="00F034C6">
      <w:pPr>
        <w:numPr>
          <w:ilvl w:val="0"/>
          <w:numId w:val="1"/>
        </w:numPr>
        <w:tabs>
          <w:tab w:val="left" w:pos="1287"/>
        </w:tabs>
        <w:spacing w:before="100" w:after="100"/>
        <w:ind w:left="1287"/>
        <w:rPr>
          <w:sz w:val="24"/>
          <w:szCs w:val="24"/>
        </w:rPr>
      </w:pPr>
      <w:r>
        <w:rPr>
          <w:sz w:val="24"/>
          <w:szCs w:val="24"/>
        </w:rPr>
        <w:t>просить Неправительственный Фонд имени В.И. Вернадского поддержать организованную с привлечением возможностей российских и международных неправительственных организаций дискуссию по вопросу создания ассоциации предпринимателей, заинтересованных в развитии экологически эффективного бизнеса, а также просветительскую кампанию, направленную на популяризацию идеи развития экологически эффективного бизнеса;</w:t>
      </w:r>
    </w:p>
    <w:p w:rsidR="00530D09" w:rsidRDefault="00F034C6">
      <w:pPr>
        <w:numPr>
          <w:ilvl w:val="0"/>
          <w:numId w:val="1"/>
        </w:numPr>
        <w:tabs>
          <w:tab w:val="left" w:pos="1287"/>
        </w:tabs>
        <w:spacing w:before="100" w:after="100"/>
        <w:ind w:left="1287"/>
        <w:rPr>
          <w:sz w:val="24"/>
          <w:szCs w:val="24"/>
        </w:rPr>
      </w:pPr>
      <w:r>
        <w:rPr>
          <w:sz w:val="24"/>
          <w:szCs w:val="24"/>
        </w:rPr>
        <w:t>рекомендовать Госкомэкологии РФ, Министерству природных ресурсов РФ, министерствам и ведомствам, заинтересованным в развитии экологически эффективного бизнеса, использовать опыт ведущих высших учебных заведений, научно-исследовательских организаций, консалтинговых фирм для организации системы подготовки и обеспечения должного уровня информированности представителей предприятий, профессионалов-консультантов, а также госслужащих в области экологического менеджмента;</w:t>
      </w:r>
    </w:p>
    <w:p w:rsidR="00530D09" w:rsidRDefault="00F034C6">
      <w:pPr>
        <w:numPr>
          <w:ilvl w:val="0"/>
          <w:numId w:val="1"/>
        </w:numPr>
        <w:tabs>
          <w:tab w:val="left" w:pos="1287"/>
        </w:tabs>
        <w:spacing w:before="100" w:after="100"/>
        <w:ind w:left="1287"/>
        <w:rPr>
          <w:sz w:val="24"/>
          <w:szCs w:val="24"/>
        </w:rPr>
      </w:pPr>
      <w:r>
        <w:rPr>
          <w:sz w:val="24"/>
          <w:szCs w:val="24"/>
        </w:rPr>
        <w:t>обратиться к международным и российским фондам, благотворительным организациям с просьбой поддержать инициативы в области экологического менеджмента в Российской Федерации и в первую очередь - процесс подготовки специалистов и организацию пилотных проектов.</w:t>
      </w:r>
    </w:p>
    <w:p w:rsidR="00530D09" w:rsidRDefault="00F034C6">
      <w:pPr>
        <w:pStyle w:val="11"/>
        <w:ind w:firstLine="567"/>
      </w:pPr>
      <w:r>
        <w:t>Участники дискуссии отметили также то, какую важную роль играет обеспечение доступности адекватных версий стандартов ISO 14000 (и прежде всего - российского эквивалента ISO 14001 - ГОСТа Р ИСО 14001, соответствие требованиям которого может быть предметом сертификации) на русском языке и разработка рекомендаций для технического комитета ТС 207 по дальнейшему развитию стандартов, в том числе, и с учетом российского опыта.</w:t>
      </w:r>
    </w:p>
    <w:p w:rsidR="00530D09" w:rsidRDefault="00530D09">
      <w:pPr>
        <w:ind w:firstLine="567"/>
        <w:rPr>
          <w:sz w:val="24"/>
          <w:szCs w:val="24"/>
        </w:rPr>
      </w:pPr>
      <w:bookmarkStart w:id="0" w:name="_GoBack"/>
      <w:bookmarkEnd w:id="0"/>
    </w:p>
    <w:sectPr w:rsidR="00530D09">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4C6"/>
    <w:rsid w:val="003F0E3A"/>
    <w:rsid w:val="00530D09"/>
    <w:rsid w:val="00F03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FA4A4-98EA-4DEA-8E06-E3F958E8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ymbol" w:eastAsia="Symbol" w:hAnsi="Symbol" w:cs="Symbol"/>
      <w:sz w:val="20"/>
      <w:szCs w:val="20"/>
    </w:rPr>
  </w:style>
  <w:style w:type="character" w:customStyle="1" w:styleId="RTFNum22">
    <w:name w:val="RTF_Num 2 2"/>
    <w:rPr>
      <w:rFonts w:ascii="Courier New" w:eastAsia="Courier New" w:hAnsi="Courier New" w:cs="Courier New"/>
      <w:sz w:val="20"/>
      <w:szCs w:val="20"/>
    </w:rPr>
  </w:style>
  <w:style w:type="character" w:customStyle="1" w:styleId="RTFNum23">
    <w:name w:val="RTF_Num 2 3"/>
    <w:rPr>
      <w:rFonts w:ascii="Wingdings" w:eastAsia="Wingdings" w:hAnsi="Wingdings" w:cs="Wingdings"/>
      <w:sz w:val="20"/>
      <w:szCs w:val="20"/>
    </w:rPr>
  </w:style>
  <w:style w:type="character" w:customStyle="1" w:styleId="RTFNum24">
    <w:name w:val="RTF_Num 2 4"/>
    <w:rPr>
      <w:rFonts w:ascii="Wingdings" w:eastAsia="Wingdings" w:hAnsi="Wingdings" w:cs="Wingdings"/>
      <w:sz w:val="20"/>
      <w:szCs w:val="20"/>
    </w:rPr>
  </w:style>
  <w:style w:type="character" w:customStyle="1" w:styleId="RTFNum25">
    <w:name w:val="RTF_Num 2 5"/>
    <w:rPr>
      <w:rFonts w:ascii="Wingdings" w:eastAsia="Wingdings" w:hAnsi="Wingdings" w:cs="Wingdings"/>
      <w:sz w:val="20"/>
      <w:szCs w:val="20"/>
    </w:rPr>
  </w:style>
  <w:style w:type="character" w:customStyle="1" w:styleId="RTFNum26">
    <w:name w:val="RTF_Num 2 6"/>
    <w:rPr>
      <w:rFonts w:ascii="Wingdings" w:eastAsia="Wingdings" w:hAnsi="Wingdings" w:cs="Wingdings"/>
      <w:sz w:val="20"/>
      <w:szCs w:val="20"/>
    </w:rPr>
  </w:style>
  <w:style w:type="character" w:customStyle="1" w:styleId="RTFNum27">
    <w:name w:val="RTF_Num 2 7"/>
    <w:rPr>
      <w:rFonts w:ascii="Wingdings" w:eastAsia="Wingdings" w:hAnsi="Wingdings" w:cs="Wingdings"/>
      <w:sz w:val="20"/>
      <w:szCs w:val="20"/>
    </w:rPr>
  </w:style>
  <w:style w:type="character" w:customStyle="1" w:styleId="RTFNum28">
    <w:name w:val="RTF_Num 2 8"/>
    <w:rPr>
      <w:rFonts w:ascii="Wingdings" w:eastAsia="Wingdings" w:hAnsi="Wingdings" w:cs="Wingdings"/>
      <w:sz w:val="20"/>
      <w:szCs w:val="20"/>
    </w:rPr>
  </w:style>
  <w:style w:type="character" w:customStyle="1" w:styleId="RTFNum29">
    <w:name w:val="RTF_Num 2 9"/>
    <w:rPr>
      <w:rFonts w:ascii="Wingdings" w:eastAsia="Wingdings" w:hAnsi="Wingdings" w:cs="Wingdings"/>
      <w:sz w:val="20"/>
      <w:szCs w:val="20"/>
    </w:rPr>
  </w:style>
  <w:style w:type="character" w:customStyle="1" w:styleId="1">
    <w:name w:val="Основной шрифт абзаца1"/>
  </w:style>
  <w:style w:type="paragraph" w:customStyle="1" w:styleId="Heading">
    <w:name w:val="Heading"/>
    <w:basedOn w:val="a"/>
    <w:next w:val="a3"/>
    <w:pPr>
      <w:keepNext/>
      <w:spacing w:before="240" w:after="120"/>
    </w:pPr>
    <w:rPr>
      <w:rFonts w:ascii="Liberation Sans" w:eastAsia="Nimbus Sans L" w:hAnsi="Liberation Sans" w:cs="Nimbus Sans L"/>
      <w:sz w:val="28"/>
      <w:szCs w:val="28"/>
    </w:rPr>
  </w:style>
  <w:style w:type="paragraph" w:styleId="a3">
    <w:name w:val="Body Text"/>
    <w:basedOn w:val="a"/>
    <w:semiHidden/>
    <w:pPr>
      <w:spacing w:after="120"/>
    </w:pPr>
  </w:style>
  <w:style w:type="paragraph" w:styleId="a4">
    <w:name w:val="List"/>
    <w:basedOn w:val="a3"/>
    <w:semiHidden/>
    <w:rPr>
      <w:rFonts w:cs="Nimbus Sans L"/>
    </w:rPr>
  </w:style>
  <w:style w:type="paragraph" w:customStyle="1" w:styleId="10">
    <w:name w:val="Название объе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11">
    <w:name w:val="Обычный (веб)1"/>
    <w:basedOn w:val="a"/>
    <w:pPr>
      <w:spacing w:before="100" w:after="100"/>
    </w:pPr>
    <w:rPr>
      <w:color w:val="000000"/>
      <w:sz w:val="24"/>
      <w:szCs w:val="24"/>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2014-04-06T22:06:00Z</dcterms:created>
  <dcterms:modified xsi:type="dcterms:W3CDTF">2014-04-06T22:06:00Z</dcterms:modified>
</cp:coreProperties>
</file>