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B1C" w:rsidRDefault="002E5B1C" w:rsidP="002E5B1C">
      <w:pPr>
        <w:pStyle w:val="af6"/>
        <w:rPr>
          <w:lang w:val="uk-UA" w:eastAsia="uk-UA"/>
        </w:rPr>
      </w:pPr>
      <w:r>
        <w:rPr>
          <w:lang w:val="uk-UA" w:eastAsia="uk-UA"/>
        </w:rPr>
        <w:t>Зміст</w:t>
      </w:r>
    </w:p>
    <w:p w:rsidR="002E5B1C" w:rsidRDefault="002E5B1C" w:rsidP="002E5B1C">
      <w:pPr>
        <w:pStyle w:val="af6"/>
        <w:rPr>
          <w:lang w:val="uk-UA" w:eastAsia="uk-UA"/>
        </w:rPr>
      </w:pPr>
    </w:p>
    <w:p w:rsidR="002E5B1C" w:rsidRDefault="002E5B1C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F863B1">
        <w:rPr>
          <w:rStyle w:val="a9"/>
          <w:noProof/>
          <w:lang w:val="uk-UA"/>
        </w:rPr>
        <w:t>Вступ</w:t>
      </w:r>
    </w:p>
    <w:p w:rsidR="002E5B1C" w:rsidRDefault="002E5B1C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F863B1">
        <w:rPr>
          <w:rStyle w:val="a9"/>
          <w:noProof/>
          <w:lang w:val="uk-UA"/>
        </w:rPr>
        <w:t>Організація міжбюджетних відносин в Україні</w:t>
      </w:r>
    </w:p>
    <w:p w:rsidR="002E5B1C" w:rsidRDefault="002E5B1C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F863B1">
        <w:rPr>
          <w:rStyle w:val="a9"/>
          <w:noProof/>
          <w:lang w:val="uk-UA"/>
        </w:rPr>
        <w:t>Висновки та рекомендації</w:t>
      </w:r>
    </w:p>
    <w:p w:rsidR="002E5B1C" w:rsidRDefault="002E5B1C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F863B1">
        <w:rPr>
          <w:rStyle w:val="a9"/>
          <w:noProof/>
          <w:lang w:val="uk-UA"/>
        </w:rPr>
        <w:t>Використана література</w:t>
      </w:r>
    </w:p>
    <w:p w:rsidR="009C6978" w:rsidRDefault="009C6978" w:rsidP="002E5B1C">
      <w:pPr>
        <w:pStyle w:val="1"/>
        <w:rPr>
          <w:lang w:val="uk-UA"/>
        </w:rPr>
      </w:pPr>
      <w:r w:rsidRPr="002E5B1C">
        <w:rPr>
          <w:color w:val="000000"/>
          <w:lang w:val="uk-UA"/>
        </w:rPr>
        <w:br w:type="page"/>
      </w:r>
      <w:bookmarkStart w:id="0" w:name="_Toc287169053"/>
      <w:r w:rsidR="002E5B1C">
        <w:rPr>
          <w:lang w:val="uk-UA"/>
        </w:rPr>
        <w:t>Вступ</w:t>
      </w:r>
      <w:bookmarkEnd w:id="0"/>
    </w:p>
    <w:p w:rsidR="002E5B1C" w:rsidRPr="002E5B1C" w:rsidRDefault="002E5B1C" w:rsidP="002E5B1C">
      <w:pPr>
        <w:rPr>
          <w:lang w:val="uk-UA" w:eastAsia="en-US"/>
        </w:rPr>
      </w:pP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bCs/>
          <w:iCs/>
          <w:lang w:val="uk-UA" w:eastAsia="uk-UA"/>
        </w:rPr>
      </w:pPr>
      <w:r w:rsidRPr="002E5B1C">
        <w:rPr>
          <w:bCs/>
          <w:iCs/>
          <w:lang w:val="uk-UA" w:eastAsia="uk-UA"/>
        </w:rPr>
        <w:t>Тема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дослідницької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роботи</w:t>
      </w:r>
      <w:r w:rsidR="002E5B1C">
        <w:rPr>
          <w:bCs/>
          <w:iCs/>
          <w:lang w:val="uk-UA" w:eastAsia="uk-UA"/>
        </w:rPr>
        <w:t xml:space="preserve"> "</w:t>
      </w:r>
      <w:r w:rsidRPr="002E5B1C">
        <w:rPr>
          <w:bCs/>
          <w:iCs/>
          <w:lang w:val="uk-UA" w:eastAsia="uk-UA"/>
        </w:rPr>
        <w:t>Організація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міжбюджетних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відносин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в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Україні</w:t>
      </w:r>
      <w:r w:rsidR="002E5B1C">
        <w:rPr>
          <w:bCs/>
          <w:iCs/>
          <w:lang w:val="uk-UA" w:eastAsia="uk-UA"/>
        </w:rPr>
        <w:t>"</w:t>
      </w:r>
      <w:r w:rsidR="002E5B1C" w:rsidRPr="002E5B1C">
        <w:rPr>
          <w:bCs/>
          <w:iCs/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bCs/>
          <w:iCs/>
          <w:lang w:val="uk-UA" w:eastAsia="uk-UA"/>
        </w:rPr>
      </w:pPr>
      <w:r w:rsidRPr="002E5B1C">
        <w:rPr>
          <w:bCs/>
          <w:iCs/>
          <w:lang w:val="uk-UA" w:eastAsia="uk-UA"/>
        </w:rPr>
        <w:t>В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роботі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проведено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аналіз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системи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організації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міжбюджетних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відносин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в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Україні,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висвітлено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наявні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проблеми,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внесено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пропозиції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щодо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вдосконалення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механізмів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регулювання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фінансових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відносин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між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центральною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владою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і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органами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місцевого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самоврядування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в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контексті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оптимального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співвідношення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централізації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та</w:t>
      </w:r>
      <w:r w:rsidR="002E5B1C" w:rsidRPr="002E5B1C">
        <w:rPr>
          <w:bCs/>
          <w:iCs/>
          <w:lang w:val="uk-UA" w:eastAsia="uk-UA"/>
        </w:rPr>
        <w:t xml:space="preserve"> </w:t>
      </w:r>
      <w:r w:rsidRPr="002E5B1C">
        <w:rPr>
          <w:bCs/>
          <w:iCs/>
          <w:lang w:val="uk-UA" w:eastAsia="uk-UA"/>
        </w:rPr>
        <w:t>децентралізації</w:t>
      </w:r>
      <w:r w:rsidR="002E5B1C" w:rsidRPr="002E5B1C">
        <w:rPr>
          <w:bCs/>
          <w:iCs/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Забезпечення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збалансованого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соціально-економічного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розвитку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країни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неможливе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без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створення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обґрунтованої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системи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відносин</w:t>
      </w:r>
      <w:r w:rsidR="002E5B1C" w:rsidRPr="002E5B1C">
        <w:rPr>
          <w:lang w:val="uk-UA" w:eastAsia="uk-UA"/>
        </w:rPr>
        <w:t xml:space="preserve">. </w:t>
      </w:r>
      <w:r w:rsidRPr="002E5B1C">
        <w:rPr>
          <w:bCs/>
          <w:lang w:val="uk-UA" w:eastAsia="uk-UA"/>
        </w:rPr>
        <w:t>І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lang w:val="uk-UA" w:eastAsia="uk-UA"/>
        </w:rPr>
        <w:t>хоча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формування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розпочалося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набуттям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Україною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незалежності,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через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значну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неоднозначність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суперечливість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даного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питання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воно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остаточно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вирішене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досі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Отже,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випадково,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йому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постійно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приділяють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увагу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діячі,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суб'єкти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правовідносин,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дослідники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галузі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управління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фінансів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Проблеми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організації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відносин,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фінансового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вирівнювання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розвитку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регіонів,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зміцнення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фінансової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бази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самоврядування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входять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кола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наукових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інтересів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багатьох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учених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Зокрема,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даній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проблематиці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присвячено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праці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вітчизняних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науковців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Буковинського,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Василика,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Кириленко,</w:t>
      </w:r>
      <w:r w:rsidR="002E5B1C" w:rsidRPr="002E5B1C">
        <w:rPr>
          <w:lang w:val="uk-UA" w:eastAsia="uk-UA"/>
        </w:rPr>
        <w:t xml:space="preserve"> </w:t>
      </w:r>
      <w:r w:rsidRPr="002E5B1C">
        <w:rPr>
          <w:bCs/>
          <w:lang w:val="uk-UA" w:eastAsia="uk-UA"/>
        </w:rPr>
        <w:t>І</w:t>
      </w:r>
      <w:r w:rsidR="002E5B1C" w:rsidRPr="002E5B1C">
        <w:rPr>
          <w:bCs/>
          <w:lang w:val="uk-UA" w:eastAsia="uk-UA"/>
        </w:rPr>
        <w:t xml:space="preserve">. </w:t>
      </w:r>
      <w:r w:rsidRPr="002E5B1C">
        <w:rPr>
          <w:lang w:val="uk-UA" w:eastAsia="uk-UA"/>
        </w:rPr>
        <w:t>Луніної,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Опаріна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інших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своїх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дослідженнях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вони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визначають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теоретичні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практичні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аспекти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регулювання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фінансових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відносин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центральною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владою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органами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самоврядування,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характеризують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наявні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даній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сфері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проблеми,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пропонують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способи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розв'язання,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вносять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пропозиції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реформування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відносин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Україні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Основними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завданнями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даної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роботи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обґрунтування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об'єктивної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необхідності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існування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системи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відносин,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ретроспективний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аналіз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чинної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Україні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практики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реалізації,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висвітлення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невирішених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питань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визначення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механізмів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регулювання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фінансових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відносин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центральною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владою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органами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самоврядування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контексті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оптимального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співвідношення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централізації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децентралізації</w:t>
      </w:r>
      <w:r w:rsidR="002E5B1C" w:rsidRPr="002E5B1C">
        <w:rPr>
          <w:lang w:val="uk-UA" w:eastAsia="uk-UA"/>
        </w:rPr>
        <w:t>.</w:t>
      </w:r>
    </w:p>
    <w:p w:rsidR="002E5B1C" w:rsidRDefault="002E5B1C" w:rsidP="002E5B1C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" w:name="_Toc287169054"/>
      <w:r w:rsidRPr="002E5B1C">
        <w:rPr>
          <w:lang w:val="uk-UA"/>
        </w:rPr>
        <w:t>Організація міжбюджетних відносин в Україні</w:t>
      </w:r>
      <w:bookmarkEnd w:id="1"/>
    </w:p>
    <w:p w:rsidR="002E5B1C" w:rsidRPr="002E5B1C" w:rsidRDefault="002E5B1C" w:rsidP="002E5B1C">
      <w:pPr>
        <w:rPr>
          <w:lang w:val="uk-UA" w:eastAsia="en-US"/>
        </w:rPr>
      </w:pPr>
    </w:p>
    <w:p w:rsidR="002E5B1C" w:rsidRPr="002E5B1C" w:rsidRDefault="009C6978" w:rsidP="002E5B1C">
      <w:pPr>
        <w:tabs>
          <w:tab w:val="left" w:pos="726"/>
        </w:tabs>
        <w:rPr>
          <w:lang w:val="uk-UA" w:eastAsia="uk-UA"/>
        </w:rPr>
      </w:pPr>
      <w:r w:rsidRPr="002E5B1C">
        <w:rPr>
          <w:lang w:val="uk-UA" w:eastAsia="uk-UA"/>
        </w:rPr>
        <w:t>Чинна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система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відносин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Україні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пройшла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два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основних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етапи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свого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розвитку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rPr>
          <w:lang w:val="uk-UA" w:eastAsia="uk-UA"/>
        </w:rPr>
      </w:pPr>
      <w:r w:rsidRPr="002E5B1C">
        <w:rPr>
          <w:lang w:val="uk-UA" w:eastAsia="uk-UA"/>
        </w:rPr>
        <w:t>Перший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етап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1992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2001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рік</w:t>
      </w:r>
      <w:r w:rsidR="002E5B1C" w:rsidRPr="002E5B1C">
        <w:rPr>
          <w:lang w:val="uk-UA" w:eastAsia="uk-UA"/>
        </w:rPr>
        <w:t xml:space="preserve">) </w:t>
      </w:r>
      <w:r w:rsidRPr="002E5B1C">
        <w:rPr>
          <w:lang w:val="uk-UA" w:eastAsia="uk-UA"/>
        </w:rPr>
        <w:t>характеризувався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домінуванням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суб'єктивного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підходу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розподілі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видатків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окремими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ланками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системи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основу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формування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дохідної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частини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було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покладено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систему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нормативів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відрахувань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загальнодержавних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зборів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хоча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стягнення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були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єдиним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джерелом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саме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вони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забезпечували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левову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частку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Для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обласного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рівня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використовувались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індивідуальні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окремий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норматив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для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конкретного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регіону</w:t>
      </w:r>
      <w:r w:rsidR="002E5B1C" w:rsidRPr="002E5B1C">
        <w:rPr>
          <w:lang w:val="uk-UA" w:eastAsia="uk-UA"/>
        </w:rPr>
        <w:t xml:space="preserve">), </w:t>
      </w:r>
      <w:r w:rsidRPr="002E5B1C">
        <w:rPr>
          <w:lang w:val="uk-UA" w:eastAsia="uk-UA"/>
        </w:rPr>
        <w:t>так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єдині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однакові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для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всіх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регіонів</w:t>
      </w:r>
      <w:r w:rsidR="002E5B1C" w:rsidRPr="002E5B1C">
        <w:rPr>
          <w:lang w:val="uk-UA" w:eastAsia="uk-UA"/>
        </w:rPr>
        <w:t xml:space="preserve">) </w:t>
      </w:r>
      <w:r w:rsidRPr="002E5B1C">
        <w:rPr>
          <w:lang w:val="uk-UA" w:eastAsia="uk-UA"/>
        </w:rPr>
        <w:t>нормативи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Для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інших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нормативи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завжди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встановлювалися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індивідуально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Планування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видатків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визначалося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наявністю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об'єктів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господарства,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також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установ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організацій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освіти,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культури,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охорони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здоров'я,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соціального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забезпечення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соціального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захисту,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підпорядковувалися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відповідним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органам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влади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Недосконалість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даної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системи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обумовлювалася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такими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причинами</w:t>
      </w:r>
      <w:r w:rsidR="002E5B1C" w:rsidRPr="002E5B1C">
        <w:rPr>
          <w:lang w:val="uk-UA" w:eastAsia="uk-UA"/>
        </w:rPr>
        <w:t>: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) </w:t>
      </w:r>
      <w:r w:rsidRPr="002E5B1C">
        <w:rPr>
          <w:lang w:val="uk-UA" w:eastAsia="uk-UA"/>
        </w:rPr>
        <w:t>вона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слабо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корелювала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реальними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потребами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утворювався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дисбаланс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величиною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фінансових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ресурсів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обсягами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владних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повноважень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адміністративно-територіальної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одиниці</w:t>
      </w:r>
      <w:r w:rsidR="002E5B1C" w:rsidRPr="002E5B1C">
        <w:rPr>
          <w:lang w:val="uk-UA" w:eastAsia="uk-UA"/>
        </w:rPr>
        <w:t>;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б</w:t>
      </w:r>
      <w:r w:rsidR="002E5B1C" w:rsidRPr="002E5B1C">
        <w:rPr>
          <w:lang w:val="uk-UA" w:eastAsia="uk-UA"/>
        </w:rPr>
        <w:t xml:space="preserve">) </w:t>
      </w:r>
      <w:r w:rsidRPr="002E5B1C">
        <w:rPr>
          <w:lang w:val="uk-UA" w:eastAsia="uk-UA"/>
        </w:rPr>
        <w:t>вона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дозволяла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органам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належним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чином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планувати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свою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діяльність,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запроваджувати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програми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розвитку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перспективу,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оскільки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нормативи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відрахувань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загальнодержавних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були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сталими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щороку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переглядалися</w:t>
      </w:r>
      <w:r w:rsidR="002E5B1C" w:rsidRPr="002E5B1C">
        <w:rPr>
          <w:lang w:val="uk-UA" w:eastAsia="uk-UA"/>
        </w:rPr>
        <w:t xml:space="preserve">).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умови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зниження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діяльність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ініціатива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органів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влади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взагалі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могли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бути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паралізовані</w:t>
      </w:r>
      <w:r w:rsidR="002E5B1C" w:rsidRPr="002E5B1C">
        <w:rPr>
          <w:lang w:val="uk-UA" w:eastAsia="uk-UA"/>
        </w:rPr>
        <w:t>;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) </w:t>
      </w:r>
      <w:r w:rsidRPr="002E5B1C">
        <w:rPr>
          <w:lang w:val="uk-UA" w:eastAsia="uk-UA"/>
        </w:rPr>
        <w:t>вона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давала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можливості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справедливо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неупереджено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розподілити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оскільки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було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чітких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правил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процедур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обчислення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трансфертів</w:t>
      </w:r>
      <w:r w:rsidR="002E5B1C" w:rsidRPr="002E5B1C">
        <w:rPr>
          <w:lang w:val="uk-UA" w:eastAsia="uk-UA"/>
        </w:rPr>
        <w:t xml:space="preserve">; </w:t>
      </w:r>
      <w:r w:rsidRPr="002E5B1C">
        <w:rPr>
          <w:lang w:val="uk-UA" w:eastAsia="uk-UA"/>
        </w:rPr>
        <w:t>створювала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передумови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для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суб'єктивних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рішень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лобіювання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інтересів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Як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наслідок,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механізм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тільки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гальмував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діяльність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органів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влади,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взаємовідносини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суб'єктами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правовідносин,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негативно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впливав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загальноекономічний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розвиток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країни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Певним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удосконаленням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існуючої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системи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стало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запровадження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1999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щоденних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нормативів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відрахувань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загальнодержавних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зборів,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дозволило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підвищити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рівень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виконання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доходами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Прийняття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кодексу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набрання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чинності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ознаменували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початок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другого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етапу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розвитку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відносин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Україні,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принципово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змінив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порядок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планування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видатків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організацію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взаємовідносин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ними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Суть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основних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нововведень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зводиться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такого</w:t>
      </w:r>
      <w:r w:rsidR="002E5B1C" w:rsidRPr="002E5B1C">
        <w:rPr>
          <w:lang w:val="uk-UA" w:eastAsia="uk-UA"/>
        </w:rPr>
        <w:t>: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2E5B1C">
        <w:rPr>
          <w:lang w:val="uk-UA"/>
        </w:rPr>
        <w:t>переглянуто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склад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доходів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державного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проведено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більш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чітке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розмежування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видатків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між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ними</w:t>
      </w:r>
      <w:r w:rsidR="002E5B1C" w:rsidRPr="002E5B1C">
        <w:rPr>
          <w:lang w:val="uk-UA"/>
        </w:rPr>
        <w:t>;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2E5B1C">
        <w:rPr>
          <w:lang w:val="uk-UA"/>
        </w:rPr>
        <w:t>запроваджено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поділ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надходжень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видатків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такі,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що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враховуються,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такі,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що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враховуються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при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визначенні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міжбюджетних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трансфертів,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як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основи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для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обчислення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сум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дотацій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вирівнювання</w:t>
      </w:r>
      <w:r w:rsidR="002E5B1C">
        <w:rPr>
          <w:lang w:val="uk-UA"/>
        </w:rPr>
        <w:t xml:space="preserve"> (</w:t>
      </w:r>
      <w:r w:rsidRPr="002E5B1C">
        <w:rPr>
          <w:lang w:val="uk-UA"/>
        </w:rPr>
        <w:t>вилучення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коштів</w:t>
      </w:r>
      <w:r w:rsidR="002E5B1C" w:rsidRPr="002E5B1C">
        <w:rPr>
          <w:lang w:val="uk-UA"/>
        </w:rPr>
        <w:t>);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2E5B1C">
        <w:rPr>
          <w:lang w:val="uk-UA"/>
        </w:rPr>
        <w:t>розроблено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формулу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для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розрахунку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сум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міжбюджетних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трансфертів</w:t>
      </w:r>
      <w:r w:rsidR="002E5B1C" w:rsidRPr="002E5B1C">
        <w:rPr>
          <w:lang w:val="uk-UA"/>
        </w:rPr>
        <w:t>;</w:t>
      </w:r>
    </w:p>
    <w:p w:rsidR="002E5B1C" w:rsidRPr="002E5B1C" w:rsidRDefault="009C6978" w:rsidP="002E5B1C">
      <w:pPr>
        <w:tabs>
          <w:tab w:val="left" w:pos="726"/>
        </w:tabs>
        <w:rPr>
          <w:lang w:val="uk-UA"/>
        </w:rPr>
      </w:pPr>
      <w:r w:rsidRPr="002E5B1C">
        <w:rPr>
          <w:lang w:val="uk-UA"/>
        </w:rPr>
        <w:t>здійснено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перехід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прямих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відносин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між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державним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бюджетом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</w:t>
      </w:r>
      <w:r w:rsidR="002E5B1C" w:rsidRPr="002E5B1C">
        <w:t xml:space="preserve"> </w:t>
      </w:r>
      <w:r w:rsidRPr="002E5B1C">
        <w:t>686</w:t>
      </w:r>
      <w:r w:rsidR="002E5B1C">
        <w:rPr>
          <w:lang w:val="uk-UA"/>
        </w:rPr>
        <w:t xml:space="preserve"> (</w:t>
      </w:r>
      <w:r w:rsidRPr="002E5B1C">
        <w:rPr>
          <w:lang w:val="uk-UA"/>
        </w:rPr>
        <w:t>станом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</w:t>
      </w:r>
      <w:r w:rsidR="002E5B1C" w:rsidRPr="002E5B1C">
        <w:t xml:space="preserve"> </w:t>
      </w:r>
      <w:r w:rsidRPr="002E5B1C">
        <w:t>200</w:t>
      </w:r>
      <w:r w:rsidRPr="002E5B1C">
        <w:rPr>
          <w:lang w:val="uk-UA"/>
        </w:rPr>
        <w:t>9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рік</w:t>
      </w:r>
      <w:r w:rsidR="002E5B1C" w:rsidRPr="002E5B1C">
        <w:rPr>
          <w:lang w:val="uk-UA"/>
        </w:rPr>
        <w:t xml:space="preserve">) </w:t>
      </w:r>
      <w:r w:rsidRPr="002E5B1C">
        <w:rPr>
          <w:lang w:val="uk-UA"/>
        </w:rPr>
        <w:t>місцевими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бюджетами</w:t>
      </w:r>
      <w:r w:rsidR="002E5B1C" w:rsidRPr="002E5B1C">
        <w:t xml:space="preserve"> - </w:t>
      </w:r>
      <w:r w:rsidRPr="002E5B1C">
        <w:rPr>
          <w:lang w:val="uk-UA"/>
        </w:rPr>
        <w:t>областей,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АР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Крим,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міст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обласного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республіканського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значення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районів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областей</w:t>
      </w:r>
      <w:r w:rsidR="002E5B1C">
        <w:rPr>
          <w:lang w:val="uk-UA"/>
        </w:rPr>
        <w:t xml:space="preserve"> (</w:t>
      </w:r>
      <w:r w:rsidRPr="002E5B1C">
        <w:rPr>
          <w:lang w:val="uk-UA"/>
        </w:rPr>
        <w:t>АР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Крим</w:t>
      </w:r>
      <w:r w:rsidR="002E5B1C" w:rsidRPr="002E5B1C">
        <w:rPr>
          <w:lang w:val="uk-UA"/>
        </w:rPr>
        <w:t>).</w:t>
      </w:r>
    </w:p>
    <w:p w:rsid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Очікувалося,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внесені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системи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регулювання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відносин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зміни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зроблять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більш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стабільною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прозорою,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дозволять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підвищити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рівень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автономії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відповідальності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влади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сприятимуть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розвитку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регіонів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Разом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нині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уже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очевидно,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самостійність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eastAsia="uk-UA"/>
        </w:rPr>
        <w:t xml:space="preserve"> - </w:t>
      </w:r>
      <w:r w:rsidRPr="002E5B1C">
        <w:rPr>
          <w:lang w:val="uk-UA" w:eastAsia="uk-UA"/>
        </w:rPr>
        <w:t>це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лише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декларація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наміри,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становлення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подальший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розвиток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самоврядування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досі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перебувають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загрозою</w:t>
      </w:r>
      <w:r w:rsidR="002E5B1C">
        <w:rPr>
          <w:lang w:eastAsia="uk-UA"/>
        </w:rPr>
        <w:t xml:space="preserve"> (</w:t>
      </w:r>
      <w:r w:rsidRPr="002E5B1C">
        <w:rPr>
          <w:lang w:eastAsia="uk-UA"/>
        </w:rPr>
        <w:t>табл</w:t>
      </w:r>
      <w:r w:rsidR="002E5B1C">
        <w:rPr>
          <w:lang w:eastAsia="uk-UA"/>
        </w:rPr>
        <w:t>.1</w:t>
      </w:r>
      <w:r w:rsidR="002E5B1C" w:rsidRPr="002E5B1C">
        <w:rPr>
          <w:lang w:eastAsia="uk-UA"/>
        </w:rPr>
        <w:t>).</w:t>
      </w:r>
    </w:p>
    <w:p w:rsidR="003270A3" w:rsidRPr="003270A3" w:rsidRDefault="003270A3" w:rsidP="003270A3">
      <w:pPr>
        <w:pStyle w:val="af5"/>
        <w:rPr>
          <w:lang w:val="uk-UA" w:eastAsia="uk-UA"/>
        </w:rPr>
      </w:pPr>
      <w:r w:rsidRPr="003270A3">
        <w:rPr>
          <w:lang w:val="uk-UA" w:eastAsia="uk-UA"/>
        </w:rPr>
        <w:t>міжбюджетний україна місцевий центральний</w:t>
      </w:r>
    </w:p>
    <w:p w:rsidR="009C6978" w:rsidRPr="002E5B1C" w:rsidRDefault="002E5B1C" w:rsidP="002E5B1C">
      <w:pPr>
        <w:tabs>
          <w:tab w:val="left" w:pos="726"/>
        </w:tabs>
        <w:autoSpaceDE w:val="0"/>
        <w:autoSpaceDN w:val="0"/>
        <w:adjustRightInd w:val="0"/>
        <w:ind w:left="709" w:firstLine="0"/>
        <w:rPr>
          <w:lang w:val="uk-UA" w:eastAsia="uk-UA"/>
        </w:rPr>
      </w:pPr>
      <w:r>
        <w:rPr>
          <w:lang w:val="uk-UA" w:eastAsia="uk-UA"/>
        </w:rPr>
        <w:br w:type="page"/>
      </w:r>
      <w:r w:rsidR="009C6978" w:rsidRPr="002E5B1C">
        <w:rPr>
          <w:lang w:val="uk-UA" w:eastAsia="uk-UA"/>
        </w:rPr>
        <w:t>Таблиця</w:t>
      </w:r>
      <w:r w:rsidRPr="002E5B1C">
        <w:rPr>
          <w:lang w:eastAsia="uk-UA"/>
        </w:rPr>
        <w:t xml:space="preserve"> </w:t>
      </w:r>
      <w:r w:rsidR="009C6978" w:rsidRPr="002E5B1C">
        <w:rPr>
          <w:lang w:eastAsia="uk-UA"/>
        </w:rPr>
        <w:t>1</w:t>
      </w:r>
      <w:r w:rsidRPr="002E5B1C">
        <w:rPr>
          <w:lang w:eastAsia="uk-UA"/>
        </w:rPr>
        <w:t xml:space="preserve">. </w:t>
      </w:r>
      <w:r w:rsidR="009C6978" w:rsidRPr="002E5B1C">
        <w:rPr>
          <w:lang w:val="uk-UA" w:eastAsia="uk-UA"/>
        </w:rPr>
        <w:t>Аналіз</w:t>
      </w:r>
      <w:r w:rsidRPr="002E5B1C">
        <w:rPr>
          <w:lang w:val="uk-UA" w:eastAsia="uk-UA"/>
        </w:rPr>
        <w:t xml:space="preserve"> </w:t>
      </w:r>
      <w:r w:rsidR="009C6978" w:rsidRPr="002E5B1C">
        <w:rPr>
          <w:lang w:val="uk-UA" w:eastAsia="uk-UA"/>
        </w:rPr>
        <w:t>доходів</w:t>
      </w:r>
      <w:r w:rsidRPr="002E5B1C">
        <w:rPr>
          <w:lang w:val="uk-UA" w:eastAsia="uk-UA"/>
        </w:rPr>
        <w:t xml:space="preserve"> </w:t>
      </w:r>
      <w:r w:rsidR="009C6978" w:rsidRPr="002E5B1C">
        <w:rPr>
          <w:lang w:val="uk-UA" w:eastAsia="uk-UA"/>
        </w:rPr>
        <w:t>і</w:t>
      </w:r>
      <w:r w:rsidRPr="002E5B1C">
        <w:rPr>
          <w:lang w:val="uk-UA" w:eastAsia="uk-UA"/>
        </w:rPr>
        <w:t xml:space="preserve"> </w:t>
      </w:r>
      <w:r w:rsidR="009C6978" w:rsidRPr="002E5B1C">
        <w:rPr>
          <w:lang w:val="uk-UA" w:eastAsia="uk-UA"/>
        </w:rPr>
        <w:t>видатків</w:t>
      </w:r>
      <w:r w:rsidRPr="002E5B1C">
        <w:rPr>
          <w:lang w:val="uk-UA" w:eastAsia="uk-UA"/>
        </w:rPr>
        <w:t xml:space="preserve"> </w:t>
      </w:r>
      <w:r w:rsidR="009C6978" w:rsidRPr="002E5B1C">
        <w:rPr>
          <w:lang w:val="uk-UA" w:eastAsia="uk-UA"/>
        </w:rPr>
        <w:t>місцевих</w:t>
      </w:r>
      <w:r w:rsidRPr="002E5B1C">
        <w:rPr>
          <w:lang w:val="uk-UA" w:eastAsia="uk-UA"/>
        </w:rPr>
        <w:t xml:space="preserve"> </w:t>
      </w:r>
      <w:r w:rsidR="009C6978" w:rsidRPr="002E5B1C">
        <w:rPr>
          <w:lang w:val="uk-UA" w:eastAsia="uk-UA"/>
        </w:rPr>
        <w:t>бюджетів</w:t>
      </w:r>
      <w:r w:rsidRPr="002E5B1C">
        <w:rPr>
          <w:lang w:val="uk-UA" w:eastAsia="uk-UA"/>
        </w:rPr>
        <w:t xml:space="preserve"> </w:t>
      </w:r>
      <w:r w:rsidR="009C6978" w:rsidRPr="002E5B1C">
        <w:rPr>
          <w:lang w:val="uk-UA" w:eastAsia="uk-UA"/>
        </w:rPr>
        <w:t>у</w:t>
      </w:r>
      <w:r w:rsidRPr="002E5B1C">
        <w:rPr>
          <w:lang w:eastAsia="uk-UA"/>
        </w:rPr>
        <w:t xml:space="preserve"> </w:t>
      </w:r>
      <w:r w:rsidR="009C6978" w:rsidRPr="002E5B1C">
        <w:rPr>
          <w:bCs/>
          <w:lang w:eastAsia="uk-UA"/>
        </w:rPr>
        <w:t>2001</w:t>
      </w:r>
      <w:r w:rsidRPr="002E5B1C">
        <w:rPr>
          <w:bCs/>
          <w:lang w:eastAsia="uk-UA"/>
        </w:rPr>
        <w:t>-</w:t>
      </w:r>
      <w:r w:rsidR="009C6978" w:rsidRPr="002E5B1C">
        <w:rPr>
          <w:bCs/>
          <w:lang w:eastAsia="uk-UA"/>
        </w:rPr>
        <w:t>200</w:t>
      </w:r>
      <w:r w:rsidR="009C6978" w:rsidRPr="002E5B1C">
        <w:rPr>
          <w:bCs/>
          <w:lang w:val="uk-UA" w:eastAsia="uk-UA"/>
        </w:rPr>
        <w:t>9</w:t>
      </w:r>
      <w:r w:rsidRPr="002E5B1C">
        <w:rPr>
          <w:lang w:val="uk-UA" w:eastAsia="uk-UA"/>
        </w:rPr>
        <w:t xml:space="preserve"> </w:t>
      </w:r>
      <w:r w:rsidR="009C6978" w:rsidRPr="002E5B1C">
        <w:rPr>
          <w:lang w:val="uk-UA" w:eastAsia="uk-UA"/>
        </w:rPr>
        <w:t>роках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970"/>
        <w:gridCol w:w="971"/>
        <w:gridCol w:w="971"/>
        <w:gridCol w:w="972"/>
        <w:gridCol w:w="971"/>
        <w:gridCol w:w="972"/>
        <w:gridCol w:w="972"/>
      </w:tblGrid>
      <w:tr w:rsidR="009C6978" w:rsidRPr="002E5B1C" w:rsidTr="005561B4">
        <w:trPr>
          <w:trHeight w:val="269"/>
          <w:jc w:val="center"/>
        </w:trPr>
        <w:tc>
          <w:tcPr>
            <w:tcW w:w="2410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Показник</w:t>
            </w:r>
          </w:p>
        </w:tc>
        <w:tc>
          <w:tcPr>
            <w:tcW w:w="1012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/>
              </w:rPr>
            </w:pPr>
            <w:r w:rsidRPr="002E5B1C">
              <w:t>200</w:t>
            </w:r>
            <w:r w:rsidRPr="005561B4">
              <w:rPr>
                <w:lang w:val="uk-UA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/>
              </w:rPr>
            </w:pPr>
            <w:r w:rsidRPr="002E5B1C">
              <w:t>200</w:t>
            </w:r>
            <w:r w:rsidRPr="005561B4">
              <w:rPr>
                <w:lang w:val="uk-UA"/>
              </w:rPr>
              <w:t>3</w:t>
            </w:r>
          </w:p>
        </w:tc>
        <w:tc>
          <w:tcPr>
            <w:tcW w:w="1012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/>
              </w:rPr>
            </w:pPr>
            <w:r w:rsidRPr="002E5B1C">
              <w:t>200</w:t>
            </w:r>
            <w:r w:rsidRPr="005561B4">
              <w:rPr>
                <w:lang w:val="uk-UA"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/>
              </w:rPr>
            </w:pPr>
            <w:r w:rsidRPr="002E5B1C">
              <w:t>200</w:t>
            </w:r>
            <w:r w:rsidRPr="005561B4">
              <w:rPr>
                <w:lang w:val="uk-UA"/>
              </w:rPr>
              <w:t>5</w:t>
            </w:r>
          </w:p>
        </w:tc>
        <w:tc>
          <w:tcPr>
            <w:tcW w:w="1012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/>
              </w:rPr>
            </w:pPr>
            <w:r w:rsidRPr="002E5B1C">
              <w:t>200</w:t>
            </w:r>
            <w:r w:rsidRPr="005561B4">
              <w:rPr>
                <w:lang w:val="uk-UA"/>
              </w:rPr>
              <w:t>6</w:t>
            </w:r>
          </w:p>
        </w:tc>
        <w:tc>
          <w:tcPr>
            <w:tcW w:w="1013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/>
              </w:rPr>
            </w:pPr>
            <w:r w:rsidRPr="002E5B1C">
              <w:t>200</w:t>
            </w:r>
            <w:r w:rsidRPr="005561B4">
              <w:rPr>
                <w:lang w:val="uk-UA"/>
              </w:rPr>
              <w:t>8</w:t>
            </w:r>
          </w:p>
        </w:tc>
        <w:tc>
          <w:tcPr>
            <w:tcW w:w="1013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/>
              </w:rPr>
            </w:pPr>
            <w:r w:rsidRPr="002E5B1C">
              <w:t>200</w:t>
            </w:r>
            <w:r w:rsidRPr="005561B4">
              <w:rPr>
                <w:lang w:val="uk-UA"/>
              </w:rPr>
              <w:t>9</w:t>
            </w:r>
          </w:p>
        </w:tc>
      </w:tr>
      <w:tr w:rsidR="009C6978" w:rsidRPr="002E5B1C" w:rsidTr="005561B4">
        <w:trPr>
          <w:trHeight w:val="398"/>
          <w:jc w:val="center"/>
        </w:trPr>
        <w:tc>
          <w:tcPr>
            <w:tcW w:w="2410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Доходи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місцевих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бюджетів,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усього,</w:t>
            </w:r>
            <w:r w:rsidR="002E5B1C" w:rsidRPr="002E5B1C">
              <w:rPr>
                <w:lang w:eastAsia="uk-UA"/>
              </w:rPr>
              <w:t xml:space="preserve"> </w:t>
            </w:r>
            <w:r w:rsidRPr="002E5B1C">
              <w:rPr>
                <w:lang w:eastAsia="uk-UA"/>
              </w:rPr>
              <w:t>млн</w:t>
            </w:r>
            <w:r w:rsidR="002E5B1C" w:rsidRPr="005561B4">
              <w:rPr>
                <w:lang w:val="uk-UA" w:eastAsia="uk-UA"/>
              </w:rPr>
              <w:t xml:space="preserve">. </w:t>
            </w:r>
            <w:r w:rsidRPr="005561B4">
              <w:rPr>
                <w:lang w:val="uk-UA" w:eastAsia="uk-UA"/>
              </w:rPr>
              <w:t>грн</w:t>
            </w:r>
            <w:r w:rsidR="002E5B1C" w:rsidRPr="005561B4">
              <w:rPr>
                <w:lang w:val="uk-UA" w:eastAsia="uk-UA"/>
              </w:rPr>
              <w:t xml:space="preserve">. 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24</w:t>
            </w:r>
            <w:r w:rsidR="002E5B1C" w:rsidRPr="002E5B1C">
              <w:t xml:space="preserve"> </w:t>
            </w:r>
            <w:r w:rsidRPr="002E5B1C">
              <w:t>850,0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28</w:t>
            </w:r>
            <w:r w:rsidR="002E5B1C" w:rsidRPr="002E5B1C">
              <w:t xml:space="preserve"> </w:t>
            </w:r>
            <w:r w:rsidRPr="002E5B1C">
              <w:t>247,4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34</w:t>
            </w:r>
            <w:r w:rsidR="002E5B1C" w:rsidRPr="002E5B1C">
              <w:t xml:space="preserve"> </w:t>
            </w:r>
            <w:r w:rsidRPr="002E5B1C">
              <w:t>306,5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39</w:t>
            </w:r>
            <w:r w:rsidR="002E5B1C" w:rsidRPr="002E5B1C">
              <w:t xml:space="preserve"> </w:t>
            </w:r>
            <w:r w:rsidRPr="002E5B1C">
              <w:t>604,2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53</w:t>
            </w:r>
            <w:r w:rsidR="002E5B1C" w:rsidRPr="002E5B1C">
              <w:t xml:space="preserve"> </w:t>
            </w:r>
            <w:r w:rsidRPr="002E5B1C">
              <w:t>677,3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74</w:t>
            </w:r>
            <w:r w:rsidR="002E5B1C" w:rsidRPr="002E5B1C">
              <w:t xml:space="preserve"> </w:t>
            </w:r>
            <w:r w:rsidRPr="002E5B1C">
              <w:t>015,8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103</w:t>
            </w:r>
            <w:r w:rsidR="002E5B1C" w:rsidRPr="002E5B1C">
              <w:t xml:space="preserve"> </w:t>
            </w:r>
            <w:r w:rsidRPr="002E5B1C">
              <w:t>004,9</w:t>
            </w:r>
          </w:p>
        </w:tc>
      </w:tr>
      <w:tr w:rsidR="009C6978" w:rsidRPr="002E5B1C" w:rsidTr="005561B4">
        <w:trPr>
          <w:trHeight w:val="547"/>
          <w:jc w:val="center"/>
        </w:trPr>
        <w:tc>
          <w:tcPr>
            <w:tcW w:w="2410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Індекс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зростання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реальних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доходів,</w:t>
            </w:r>
            <w:r w:rsidR="002E5B1C" w:rsidRPr="002E5B1C">
              <w:rPr>
                <w:lang w:eastAsia="uk-UA"/>
              </w:rPr>
              <w:t xml:space="preserve"> </w:t>
            </w:r>
            <w:r w:rsidRPr="002E5B1C">
              <w:rPr>
                <w:lang w:eastAsia="uk-UA"/>
              </w:rPr>
              <w:t>%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до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попереднього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року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121,0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108,2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112,5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100,3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108,9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120,1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114,4</w:t>
            </w:r>
          </w:p>
        </w:tc>
      </w:tr>
      <w:tr w:rsidR="009C6978" w:rsidRPr="002E5B1C" w:rsidTr="005561B4">
        <w:trPr>
          <w:trHeight w:val="1098"/>
          <w:jc w:val="center"/>
        </w:trPr>
        <w:tc>
          <w:tcPr>
            <w:tcW w:w="2410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Видатки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місцевих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бюджетів,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усього,</w:t>
            </w:r>
            <w:r w:rsidR="002E5B1C" w:rsidRPr="002E5B1C">
              <w:rPr>
                <w:lang w:eastAsia="uk-UA"/>
              </w:rPr>
              <w:t xml:space="preserve"> </w:t>
            </w:r>
            <w:r w:rsidRPr="002E5B1C">
              <w:rPr>
                <w:lang w:eastAsia="uk-UA"/>
              </w:rPr>
              <w:t>млн</w:t>
            </w:r>
            <w:r w:rsidR="002E5B1C" w:rsidRPr="005561B4">
              <w:rPr>
                <w:lang w:val="uk-UA" w:eastAsia="uk-UA"/>
              </w:rPr>
              <w:t xml:space="preserve">. </w:t>
            </w:r>
            <w:r w:rsidRPr="005561B4">
              <w:rPr>
                <w:lang w:val="uk-UA" w:eastAsia="uk-UA"/>
              </w:rPr>
              <w:t>грн</w:t>
            </w:r>
            <w:r w:rsidR="002E5B1C" w:rsidRPr="005561B4">
              <w:rPr>
                <w:lang w:val="uk-UA" w:eastAsia="uk-UA"/>
              </w:rPr>
              <w:t xml:space="preserve">. 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24</w:t>
            </w:r>
            <w:r w:rsidR="002E5B1C" w:rsidRPr="002E5B1C">
              <w:t xml:space="preserve"> </w:t>
            </w:r>
            <w:r w:rsidRPr="002E5B1C">
              <w:t>788,0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27</w:t>
            </w:r>
            <w:r w:rsidR="002E5B1C" w:rsidRPr="002E5B1C">
              <w:t xml:space="preserve"> </w:t>
            </w:r>
            <w:r w:rsidRPr="002E5B1C">
              <w:t>731,4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33</w:t>
            </w:r>
            <w:r w:rsidR="002E5B1C" w:rsidRPr="002E5B1C">
              <w:t xml:space="preserve"> </w:t>
            </w:r>
            <w:r w:rsidRPr="002E5B1C">
              <w:t>770,1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40</w:t>
            </w:r>
            <w:r w:rsidR="002E5B1C" w:rsidRPr="002E5B1C">
              <w:t xml:space="preserve"> </w:t>
            </w:r>
            <w:r w:rsidRPr="002E5B1C">
              <w:t>396,7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53</w:t>
            </w:r>
            <w:r w:rsidR="002E5B1C" w:rsidRPr="002E5B1C">
              <w:t xml:space="preserve"> </w:t>
            </w:r>
            <w:r w:rsidRPr="002E5B1C">
              <w:t>547,2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75</w:t>
            </w:r>
            <w:r w:rsidR="002E5B1C" w:rsidRPr="002E5B1C">
              <w:t xml:space="preserve"> </w:t>
            </w:r>
            <w:r w:rsidRPr="002E5B1C">
              <w:t>781,6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100</w:t>
            </w:r>
            <w:r w:rsidR="002E5B1C" w:rsidRPr="002E5B1C">
              <w:t xml:space="preserve"> </w:t>
            </w:r>
            <w:r w:rsidRPr="002E5B1C">
              <w:t>807,7</w:t>
            </w:r>
          </w:p>
        </w:tc>
      </w:tr>
      <w:tr w:rsidR="009C6978" w:rsidRPr="002E5B1C" w:rsidTr="005561B4">
        <w:trPr>
          <w:trHeight w:val="542"/>
          <w:jc w:val="center"/>
        </w:trPr>
        <w:tc>
          <w:tcPr>
            <w:tcW w:w="2410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Індекс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зростання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реальних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видатків,</w:t>
            </w:r>
            <w:r w:rsidR="002E5B1C" w:rsidRPr="002E5B1C">
              <w:rPr>
                <w:lang w:eastAsia="uk-UA"/>
              </w:rPr>
              <w:t xml:space="preserve"> </w:t>
            </w:r>
            <w:r w:rsidRPr="002E5B1C">
              <w:rPr>
                <w:lang w:eastAsia="uk-UA"/>
              </w:rPr>
              <w:t>%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до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попереднього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року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120,7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106,4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112,8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103,9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106,5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123,3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109,3</w:t>
            </w:r>
          </w:p>
        </w:tc>
      </w:tr>
      <w:tr w:rsidR="009C6978" w:rsidRPr="002E5B1C" w:rsidTr="005561B4">
        <w:trPr>
          <w:trHeight w:val="547"/>
          <w:jc w:val="center"/>
        </w:trPr>
        <w:tc>
          <w:tcPr>
            <w:tcW w:w="2410" w:type="dxa"/>
            <w:shd w:val="clear" w:color="auto" w:fill="auto"/>
          </w:tcPr>
          <w:p w:rsidR="009C6978" w:rsidRPr="002E5B1C" w:rsidRDefault="009C6978" w:rsidP="002E5B1C">
            <w:pPr>
              <w:pStyle w:val="af8"/>
              <w:rPr>
                <w:lang w:eastAsia="uk-UA"/>
              </w:rPr>
            </w:pPr>
            <w:r w:rsidRPr="005561B4">
              <w:rPr>
                <w:lang w:val="uk-UA" w:eastAsia="uk-UA"/>
              </w:rPr>
              <w:t>Частка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доходів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місцевих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бюджетів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у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доходах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зведеного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бюджету,</w:t>
            </w:r>
            <w:r w:rsidR="002E5B1C" w:rsidRPr="002E5B1C">
              <w:rPr>
                <w:lang w:eastAsia="uk-UA"/>
              </w:rPr>
              <w:t xml:space="preserve"> </w:t>
            </w:r>
            <w:r w:rsidRPr="002E5B1C">
              <w:rPr>
                <w:lang w:eastAsia="uk-UA"/>
              </w:rPr>
              <w:t>%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37,33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36,11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33,14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26,63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23,68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24,12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28,51</w:t>
            </w:r>
          </w:p>
        </w:tc>
      </w:tr>
      <w:tr w:rsidR="009C6978" w:rsidRPr="002E5B1C" w:rsidTr="005561B4">
        <w:trPr>
          <w:trHeight w:val="696"/>
          <w:jc w:val="center"/>
        </w:trPr>
        <w:tc>
          <w:tcPr>
            <w:tcW w:w="2410" w:type="dxa"/>
            <w:shd w:val="clear" w:color="auto" w:fill="auto"/>
          </w:tcPr>
          <w:p w:rsidR="009C6978" w:rsidRPr="002E5B1C" w:rsidRDefault="009C6978" w:rsidP="002E5B1C">
            <w:pPr>
              <w:pStyle w:val="af8"/>
              <w:rPr>
                <w:lang w:eastAsia="uk-UA"/>
              </w:rPr>
            </w:pPr>
            <w:r w:rsidRPr="005561B4">
              <w:rPr>
                <w:lang w:val="uk-UA" w:eastAsia="uk-UA"/>
              </w:rPr>
              <w:t>Частка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видатків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місцевих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бюджетів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у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видатках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зведеного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бюджету,</w:t>
            </w:r>
            <w:r w:rsidR="002E5B1C" w:rsidRPr="002E5B1C">
              <w:rPr>
                <w:lang w:eastAsia="uk-UA"/>
              </w:rPr>
              <w:t xml:space="preserve"> </w:t>
            </w:r>
            <w:r w:rsidRPr="002E5B1C">
              <w:rPr>
                <w:lang w:eastAsia="uk-UA"/>
              </w:rPr>
              <w:t>%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36,36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36,24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32,21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24,81</w:t>
            </w:r>
          </w:p>
        </w:tc>
        <w:tc>
          <w:tcPr>
            <w:tcW w:w="1012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/>
              </w:rPr>
            </w:pPr>
            <w:r w:rsidRPr="002E5B1C">
              <w:t>22,3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24,39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26,77</w:t>
            </w:r>
          </w:p>
        </w:tc>
      </w:tr>
      <w:tr w:rsidR="009C6978" w:rsidRPr="002E5B1C" w:rsidTr="005561B4">
        <w:trPr>
          <w:trHeight w:val="542"/>
          <w:jc w:val="center"/>
        </w:trPr>
        <w:tc>
          <w:tcPr>
            <w:tcW w:w="2410" w:type="dxa"/>
            <w:shd w:val="clear" w:color="auto" w:fill="auto"/>
          </w:tcPr>
          <w:p w:rsidR="009C6978" w:rsidRPr="002E5B1C" w:rsidRDefault="009C6978" w:rsidP="002E5B1C">
            <w:pPr>
              <w:pStyle w:val="af8"/>
              <w:rPr>
                <w:lang w:eastAsia="uk-UA"/>
              </w:rPr>
            </w:pPr>
            <w:r w:rsidRPr="005561B4">
              <w:rPr>
                <w:lang w:val="uk-UA" w:eastAsia="uk-UA"/>
              </w:rPr>
              <w:t>Доходи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місцевих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бюджетів</w:t>
            </w:r>
            <w:r w:rsidR="002E5B1C" w:rsidRPr="005561B4">
              <w:rPr>
                <w:lang w:val="uk-UA" w:eastAsia="uk-UA"/>
              </w:rPr>
              <w:t xml:space="preserve"> (</w:t>
            </w:r>
            <w:r w:rsidRPr="005561B4">
              <w:rPr>
                <w:lang w:val="uk-UA" w:eastAsia="uk-UA"/>
              </w:rPr>
              <w:t>без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трансфертів</w:t>
            </w:r>
            <w:r w:rsidR="002E5B1C" w:rsidRPr="005561B4">
              <w:rPr>
                <w:lang w:val="uk-UA" w:eastAsia="uk-UA"/>
              </w:rPr>
              <w:t>),</w:t>
            </w:r>
            <w:r w:rsidR="002E5B1C" w:rsidRPr="002E5B1C">
              <w:rPr>
                <w:lang w:eastAsia="uk-UA"/>
              </w:rPr>
              <w:t xml:space="preserve"> </w:t>
            </w:r>
            <w:r w:rsidRPr="002E5B1C">
              <w:rPr>
                <w:lang w:eastAsia="uk-UA"/>
              </w:rPr>
              <w:t>%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до</w:t>
            </w:r>
            <w:r w:rsidR="002E5B1C" w:rsidRPr="002E5B1C">
              <w:rPr>
                <w:lang w:eastAsia="uk-UA"/>
              </w:rPr>
              <w:t xml:space="preserve"> </w:t>
            </w:r>
            <w:r w:rsidRPr="002E5B1C">
              <w:rPr>
                <w:lang w:eastAsia="uk-UA"/>
              </w:rPr>
              <w:t>ВВП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9,87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9,91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9,33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7,06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7</w:t>
            </w:r>
            <w:r w:rsidR="002E5B1C">
              <w:t>, 20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7,62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8,80</w:t>
            </w:r>
          </w:p>
        </w:tc>
      </w:tr>
      <w:tr w:rsidR="009C6978" w:rsidRPr="002E5B1C" w:rsidTr="005561B4">
        <w:trPr>
          <w:trHeight w:val="547"/>
          <w:jc w:val="center"/>
        </w:trPr>
        <w:tc>
          <w:tcPr>
            <w:tcW w:w="2410" w:type="dxa"/>
            <w:shd w:val="clear" w:color="auto" w:fill="auto"/>
          </w:tcPr>
          <w:p w:rsidR="009C6978" w:rsidRPr="002E5B1C" w:rsidRDefault="009C6978" w:rsidP="002E5B1C">
            <w:pPr>
              <w:pStyle w:val="af8"/>
              <w:rPr>
                <w:lang w:eastAsia="uk-UA"/>
              </w:rPr>
            </w:pPr>
            <w:r w:rsidRPr="005561B4">
              <w:rPr>
                <w:lang w:val="uk-UA" w:eastAsia="uk-UA"/>
              </w:rPr>
              <w:t>Видатки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місцевих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бюджетів</w:t>
            </w:r>
            <w:r w:rsidR="002E5B1C" w:rsidRPr="005561B4">
              <w:rPr>
                <w:lang w:val="uk-UA" w:eastAsia="uk-UA"/>
              </w:rPr>
              <w:t xml:space="preserve"> (</w:t>
            </w:r>
            <w:r w:rsidRPr="005561B4">
              <w:rPr>
                <w:lang w:val="uk-UA" w:eastAsia="uk-UA"/>
              </w:rPr>
              <w:t>без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трансфертів</w:t>
            </w:r>
            <w:r w:rsidR="002E5B1C" w:rsidRPr="005561B4">
              <w:rPr>
                <w:lang w:val="uk-UA" w:eastAsia="uk-UA"/>
              </w:rPr>
              <w:t>),</w:t>
            </w:r>
            <w:r w:rsidR="002E5B1C" w:rsidRPr="002E5B1C">
              <w:rPr>
                <w:lang w:eastAsia="uk-UA"/>
              </w:rPr>
              <w:t xml:space="preserve"> </w:t>
            </w:r>
            <w:r w:rsidRPr="002E5B1C">
              <w:rPr>
                <w:lang w:eastAsia="uk-UA"/>
              </w:rPr>
              <w:t>%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до</w:t>
            </w:r>
            <w:r w:rsidR="002E5B1C" w:rsidRPr="002E5B1C">
              <w:rPr>
                <w:lang w:eastAsia="uk-UA"/>
              </w:rPr>
              <w:t xml:space="preserve"> </w:t>
            </w:r>
            <w:r w:rsidRPr="002E5B1C">
              <w:rPr>
                <w:lang w:eastAsia="uk-UA"/>
              </w:rPr>
              <w:t>ВВП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9,84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9,68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9,13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7,29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7,17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7,94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8,49</w:t>
            </w:r>
          </w:p>
        </w:tc>
      </w:tr>
      <w:tr w:rsidR="009C6978" w:rsidRPr="002E5B1C" w:rsidTr="005561B4">
        <w:trPr>
          <w:trHeight w:val="562"/>
          <w:jc w:val="center"/>
        </w:trPr>
        <w:tc>
          <w:tcPr>
            <w:tcW w:w="2410" w:type="dxa"/>
            <w:shd w:val="clear" w:color="auto" w:fill="auto"/>
          </w:tcPr>
          <w:p w:rsidR="009C6978" w:rsidRPr="002E5B1C" w:rsidRDefault="009C6978" w:rsidP="002E5B1C">
            <w:pPr>
              <w:pStyle w:val="af8"/>
              <w:rPr>
                <w:lang w:eastAsia="uk-UA"/>
              </w:rPr>
            </w:pPr>
            <w:r w:rsidRPr="005561B4">
              <w:rPr>
                <w:lang w:val="uk-UA" w:eastAsia="uk-UA"/>
              </w:rPr>
              <w:t>Частка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міжбюджетних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трансфертів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у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доходах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місцевих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бюджетів,</w:t>
            </w:r>
            <w:r w:rsidR="002E5B1C" w:rsidRPr="002E5B1C">
              <w:rPr>
                <w:lang w:eastAsia="uk-UA"/>
              </w:rPr>
              <w:t xml:space="preserve"> </w:t>
            </w:r>
            <w:r w:rsidRPr="002E5B1C">
              <w:rPr>
                <w:lang w:eastAsia="uk-UA"/>
              </w:rPr>
              <w:t>%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29,1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31,2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34,2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42,5</w:t>
            </w:r>
          </w:p>
        </w:tc>
        <w:tc>
          <w:tcPr>
            <w:tcW w:w="101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43,5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46,1</w:t>
            </w:r>
          </w:p>
        </w:tc>
        <w:tc>
          <w:tcPr>
            <w:tcW w:w="101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43,4</w:t>
            </w:r>
          </w:p>
        </w:tc>
      </w:tr>
    </w:tbl>
    <w:p w:rsidR="009C6978" w:rsidRPr="002E5B1C" w:rsidRDefault="009C6978" w:rsidP="002E5B1C">
      <w:pPr>
        <w:tabs>
          <w:tab w:val="left" w:pos="726"/>
        </w:tabs>
        <w:rPr>
          <w:i/>
          <w:iCs/>
          <w:lang w:val="uk-UA" w:eastAsia="uk-UA"/>
        </w:rPr>
      </w:pPr>
    </w:p>
    <w:p w:rsidR="002E5B1C" w:rsidRPr="002E5B1C" w:rsidRDefault="009C6978" w:rsidP="002E5B1C">
      <w:pPr>
        <w:tabs>
          <w:tab w:val="left" w:pos="726"/>
        </w:tabs>
        <w:rPr>
          <w:lang w:val="uk-UA" w:eastAsia="uk-UA"/>
        </w:rPr>
      </w:pPr>
      <w:r w:rsidRPr="002E5B1C">
        <w:rPr>
          <w:lang w:val="uk-UA" w:eastAsia="uk-UA"/>
        </w:rPr>
        <w:t>Реальну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самостійність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можуть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мати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тільки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умови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фінансової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незалежності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хоча,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видно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табл</w:t>
      </w:r>
      <w:r w:rsidR="002E5B1C">
        <w:rPr>
          <w:lang w:val="uk-UA" w:eastAsia="uk-UA"/>
        </w:rPr>
        <w:t>.1</w:t>
      </w:r>
      <w:r w:rsidRPr="002E5B1C">
        <w:rPr>
          <w:lang w:val="uk-UA" w:eastAsia="uk-UA"/>
        </w:rPr>
        <w:t>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динаміці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спостерігається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зростання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видатків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бюджетів,</w:t>
      </w:r>
      <w:r w:rsidR="002E5B1C" w:rsidRPr="002E5B1C">
        <w:rPr>
          <w:lang w:val="uk-UA" w:eastAsia="uk-UA"/>
        </w:rPr>
        <w:t xml:space="preserve"> - </w:t>
      </w:r>
      <w:r w:rsidRPr="002E5B1C">
        <w:rPr>
          <w:lang w:val="uk-UA" w:eastAsia="uk-UA"/>
        </w:rPr>
        <w:t>причому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номінальних,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обчислених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порівнянних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умовах,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використанням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індексу-дефлятора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ВВП,</w:t>
      </w:r>
      <w:r w:rsidR="002E5B1C" w:rsidRPr="002E5B1C">
        <w:rPr>
          <w:lang w:val="uk-UA" w:eastAsia="uk-UA"/>
        </w:rPr>
        <w:t xml:space="preserve"> -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позитивним,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одночасно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наростає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негативна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тенденція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надмірної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централізації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Частка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зведеному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знизилася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37,33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2002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28,51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2009-му,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або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8,82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процентного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пункта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Аналогічна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ситуація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видатками</w:t>
      </w:r>
      <w:r w:rsidR="002E5B1C" w:rsidRPr="002E5B1C">
        <w:rPr>
          <w:lang w:val="uk-UA" w:eastAsia="uk-UA"/>
        </w:rPr>
        <w:t xml:space="preserve">: </w:t>
      </w:r>
      <w:r w:rsidRPr="002E5B1C">
        <w:rPr>
          <w:lang w:val="uk-UA" w:eastAsia="uk-UA"/>
        </w:rPr>
        <w:t>в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200</w:t>
      </w:r>
      <w:r w:rsidRPr="002E5B1C">
        <w:rPr>
          <w:lang w:val="uk-UA" w:eastAsia="uk-UA"/>
        </w:rPr>
        <w:t>9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рахунок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власних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закріплених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здійснювалося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лише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26,77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видатків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зведеного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проти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36,36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2002-го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Зазначимо,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обчисленні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видатків</w:t>
      </w:r>
      <w:r w:rsidR="002E5B1C" w:rsidRPr="002E5B1C">
        <w:rPr>
          <w:lang w:val="uk-UA" w:eastAsia="uk-UA"/>
        </w:rPr>
        <w:t xml:space="preserve">)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доходах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видатках</w:t>
      </w:r>
      <w:r w:rsidR="002E5B1C" w:rsidRPr="002E5B1C">
        <w:rPr>
          <w:lang w:val="uk-UA" w:eastAsia="uk-UA"/>
        </w:rPr>
        <w:t xml:space="preserve">) </w:t>
      </w:r>
      <w:r w:rsidRPr="002E5B1C">
        <w:rPr>
          <w:lang w:val="uk-UA" w:eastAsia="uk-UA"/>
        </w:rPr>
        <w:t>зведеного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виходили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лише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власних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надходжень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витрат,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здійснених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рахунок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виключно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власних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надходжень,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враховуючи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цьому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зустрічного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руху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бюджетами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Розраховані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спосіб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певним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чином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відрізняються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тих,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містяться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щорічних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звітах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Рахункової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палати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України,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проте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дозволяють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точніше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уявити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оцінити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стан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відносин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eastAsia="uk-UA"/>
        </w:rPr>
      </w:pPr>
      <w:r w:rsidRPr="002E5B1C">
        <w:rPr>
          <w:lang w:val="uk-UA" w:eastAsia="uk-UA"/>
        </w:rPr>
        <w:t>Наявний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рівень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централізації,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71,49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спрямовуються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лише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28,51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 - </w:t>
      </w:r>
      <w:r w:rsidRPr="002E5B1C">
        <w:rPr>
          <w:lang w:val="uk-UA" w:eastAsia="uk-UA"/>
        </w:rPr>
        <w:t>розподіляються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серед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приблизно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12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тис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додає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регіонам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фінансової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стабільності,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залишаючи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увагою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потреби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існуючі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проблеми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Відбувається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також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зменшення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видатків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ВВП</w:t>
      </w:r>
      <w:r w:rsidR="002E5B1C" w:rsidRPr="002E5B1C">
        <w:rPr>
          <w:lang w:eastAsia="uk-UA"/>
        </w:rPr>
        <w:t xml:space="preserve">; </w:t>
      </w:r>
      <w:r w:rsidRPr="002E5B1C">
        <w:rPr>
          <w:lang w:val="uk-UA" w:eastAsia="uk-UA"/>
        </w:rPr>
        <w:t>з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2001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200</w:t>
      </w:r>
      <w:r w:rsidRPr="002E5B1C">
        <w:rPr>
          <w:lang w:val="uk-UA" w:eastAsia="uk-UA"/>
        </w:rPr>
        <w:t>9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вони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скоротилися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9,87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8,80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9,84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8,49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Про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посилення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залежності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органів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влади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центру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яскраво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свідчить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трансфертів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доходах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: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останні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шість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даний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зріс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29,1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43,4%</w:t>
      </w:r>
      <w:r w:rsidR="002E5B1C" w:rsidRPr="002E5B1C">
        <w:rPr>
          <w:lang w:eastAsia="uk-UA"/>
        </w:rPr>
        <w:t xml:space="preserve">.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речі,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підсумками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eastAsia="uk-UA"/>
        </w:rPr>
        <w:t>200</w:t>
      </w:r>
      <w:r w:rsidRPr="002E5B1C">
        <w:rPr>
          <w:lang w:val="uk-UA" w:eastAsia="uk-UA"/>
        </w:rPr>
        <w:t>9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року,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значення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даного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регіонах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коливалося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12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Києві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eastAsia="uk-UA"/>
        </w:rPr>
        <w:t>68,7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Тернопільській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області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Такий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стан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речей,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по-перше,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веде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того,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органи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влади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займаються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переважно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виконанням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делегованих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повноважень,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питаннями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значення,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по-друге,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надмірна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частка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трансфертів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аж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ніяк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стимулює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нарощування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власної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дохідної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бази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втрачається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зацікавленість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збільшенні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надходжень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власних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закріплених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дохідних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джерел</w:t>
      </w:r>
      <w:r w:rsidR="002E5B1C" w:rsidRPr="002E5B1C">
        <w:rPr>
          <w:lang w:val="uk-UA" w:eastAsia="uk-UA"/>
        </w:rPr>
        <w:t>).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Для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щоб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докорінно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змінити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дану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ситуацію,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слід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переглянути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існуючий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склад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сьогодні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основні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бюджетоформуючі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податки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саме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податкові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надходження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забезпечують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левову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) </w:t>
      </w:r>
      <w:r w:rsidRPr="002E5B1C">
        <w:rPr>
          <w:lang w:val="uk-UA" w:eastAsia="uk-UA"/>
        </w:rPr>
        <w:t>концентруються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Передусім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йдеться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додану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вартість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прибуток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підприємств,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частка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податкових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надходженнях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зведеного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становить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близько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60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потрапляє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лише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прибуток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підприємств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комунальної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форми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власності,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цьому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він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забезпечує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менше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1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податкових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надходжень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Фактично,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основним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податком,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рахунок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наповнюються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громадян,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забезпечує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близько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70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податкових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Зрозуміло,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порядку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закріплення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бюджетами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говорити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перспективи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самофінансування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доводиться</w:t>
      </w:r>
      <w:r w:rsidR="002E5B1C" w:rsidRPr="002E5B1C">
        <w:rPr>
          <w:lang w:val="uk-UA" w:eastAsia="uk-UA"/>
        </w:rPr>
        <w:t xml:space="preserve">. </w:t>
      </w:r>
      <w:r w:rsidRPr="002E5B1C">
        <w:rPr>
          <w:bCs/>
          <w:lang w:val="uk-UA" w:eastAsia="uk-UA"/>
        </w:rPr>
        <w:t>І</w:t>
      </w:r>
      <w:r w:rsidR="002E5B1C" w:rsidRPr="002E5B1C">
        <w:rPr>
          <w:b/>
          <w:bCs/>
          <w:lang w:val="uk-UA" w:eastAsia="uk-UA"/>
        </w:rPr>
        <w:t xml:space="preserve"> </w:t>
      </w:r>
      <w:r w:rsidRPr="002E5B1C">
        <w:rPr>
          <w:lang w:val="uk-UA" w:eastAsia="uk-UA"/>
        </w:rPr>
        <w:t>це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тому,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зорі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формування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відносин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Україні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ПДВ,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прибуток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тільки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формували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надходили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певних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пропорціях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Як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уже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зазначалося,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Бюджетним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кодексом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запроваджено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поділ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усіх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надходжень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видатків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такі,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враховуються,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такі,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враховуються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визначенні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трансфертів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Отже,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практиці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створюється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два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окремих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кошики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Величину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першого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контролює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вищий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орган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влади</w:t>
      </w:r>
      <w:r w:rsidR="002E5B1C" w:rsidRPr="002E5B1C">
        <w:rPr>
          <w:lang w:val="uk-UA" w:eastAsia="uk-UA"/>
        </w:rPr>
        <w:t xml:space="preserve">: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умови,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сума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накопичених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перевищує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потребу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них,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решта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підлягає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вилученню</w:t>
      </w:r>
      <w:r w:rsidR="002E5B1C" w:rsidRPr="002E5B1C">
        <w:rPr>
          <w:lang w:val="uk-UA" w:eastAsia="uk-UA"/>
        </w:rPr>
        <w:t xml:space="preserve">; </w:t>
      </w:r>
      <w:r w:rsidRPr="002E5B1C">
        <w:rPr>
          <w:lang w:val="uk-UA" w:eastAsia="uk-UA"/>
        </w:rPr>
        <w:t>коли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ж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наявних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даному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кошику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недостатньо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для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фінансування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всіх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запланованих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обов'язкових</w:t>
      </w:r>
      <w:r w:rsidR="002E5B1C" w:rsidRPr="002E5B1C">
        <w:rPr>
          <w:lang w:val="uk-UA" w:eastAsia="uk-UA"/>
        </w:rPr>
        <w:t xml:space="preserve">) </w:t>
      </w:r>
      <w:r w:rsidRPr="002E5B1C">
        <w:rPr>
          <w:lang w:val="uk-UA" w:eastAsia="uk-UA"/>
        </w:rPr>
        <w:t>заходів,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адміністративно-територіальної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одиниці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має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право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отримання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компенсації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дотації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вирівнювання</w:t>
      </w:r>
      <w:r w:rsidR="002E5B1C" w:rsidRPr="002E5B1C">
        <w:rPr>
          <w:lang w:val="uk-UA" w:eastAsia="uk-UA"/>
        </w:rPr>
        <w:t xml:space="preserve">). </w:t>
      </w:r>
      <w:r w:rsidRPr="002E5B1C">
        <w:rPr>
          <w:lang w:val="uk-UA" w:eastAsia="uk-UA"/>
        </w:rPr>
        <w:t>Кошти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другого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кошика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власністю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громади,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отже,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вилученню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підлягають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використовуються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визначені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даною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громадою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цілі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Зрозуміло,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розмір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видатків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другого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кошика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обмежується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сумою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одержаних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більше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збере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влада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цього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кошика,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більше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різних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програм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зможе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профінансувати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інтересах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жителів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території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Видатки,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заплановані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понад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відшкодуванню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іншого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рівня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підлягають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Запровадження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двох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кошиків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передбачало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посилення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ініціативи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відповідальності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органів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влади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формуванні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використанні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водночас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мало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перешкодою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для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центральної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влади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можливому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бажанні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профінансувати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виключно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делеговані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повноваження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мінімально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необхідний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рівень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видатків</w:t>
      </w:r>
      <w:r w:rsidR="002E5B1C" w:rsidRPr="002E5B1C">
        <w:rPr>
          <w:lang w:val="uk-UA" w:eastAsia="uk-UA"/>
        </w:rPr>
        <w:t>).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Місцеві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органи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влади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основному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зацікавлені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збільшенні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потенційних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джерел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другого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кошика,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оскільки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залишаються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повному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їхньому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розпорядженні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підлягають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вилученню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Разом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тим,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доводить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аналіз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складу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зазначених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кошиків,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основні,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найзначущі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доходи,</w:t>
      </w:r>
      <w:r w:rsidR="002E5B1C" w:rsidRPr="002E5B1C">
        <w:rPr>
          <w:lang w:eastAsia="uk-UA"/>
        </w:rPr>
        <w:t xml:space="preserve"> - </w:t>
      </w:r>
      <w:r w:rsidRPr="002E5B1C">
        <w:rPr>
          <w:lang w:val="uk-UA" w:eastAsia="uk-UA"/>
        </w:rPr>
        <w:t>зокрема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фізичних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осіб,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єдиний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податок,</w:t>
      </w:r>
      <w:r w:rsidR="002E5B1C" w:rsidRPr="002E5B1C">
        <w:rPr>
          <w:lang w:eastAsia="uk-UA"/>
        </w:rPr>
        <w:t xml:space="preserve"> - </w:t>
      </w:r>
      <w:r w:rsidRPr="002E5B1C">
        <w:rPr>
          <w:lang w:val="uk-UA" w:eastAsia="uk-UA"/>
        </w:rPr>
        <w:t>включено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першого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кошика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Натомість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частка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другого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кошика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дохідній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частині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досить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незначною,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отже,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обмежено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якими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можуть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вільно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розпоряджатися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Наприклад,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бюджетах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Харківської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області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Дзержинського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району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Харкова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eastAsia="uk-UA"/>
        </w:rPr>
        <w:t>200</w:t>
      </w:r>
      <w:r w:rsidRPr="002E5B1C">
        <w:rPr>
          <w:lang w:val="uk-UA" w:eastAsia="uk-UA"/>
        </w:rPr>
        <w:t>9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співвідношення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доходами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першого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другого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кошиків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становили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відповідно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78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проти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22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69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проти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31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Бюджетним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кодексом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визначено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чіткий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перелік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наразі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повної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його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незмінності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забезпечити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вдалося</w:t>
      </w:r>
      <w:r w:rsidR="002E5B1C" w:rsidRPr="002E5B1C">
        <w:rPr>
          <w:lang w:val="uk-UA" w:eastAsia="uk-UA"/>
        </w:rPr>
        <w:t xml:space="preserve">: </w:t>
      </w:r>
      <w:r w:rsidRPr="002E5B1C">
        <w:rPr>
          <w:lang w:val="uk-UA" w:eastAsia="uk-UA"/>
        </w:rPr>
        <w:t>щороку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законі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склад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нормативи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відрахувань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загальнодержавних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переглядаються,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додає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стабільності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дохідній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базі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адміністративно-територіальних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одиниць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Серед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мають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міжбюджетні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відносини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бюджетом,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переважна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більшість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близько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90%</w:t>
      </w:r>
      <w:r w:rsidR="002E5B1C" w:rsidRPr="002E5B1C">
        <w:rPr>
          <w:lang w:val="uk-UA" w:eastAsia="uk-UA"/>
        </w:rPr>
        <w:t xml:space="preserve">) </w:t>
      </w:r>
      <w:r w:rsidRPr="002E5B1C">
        <w:rPr>
          <w:lang w:val="uk-UA" w:eastAsia="uk-UA"/>
        </w:rPr>
        <w:t>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дотаційними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табл</w:t>
      </w:r>
      <w:r w:rsidR="002E5B1C">
        <w:rPr>
          <w:lang w:val="uk-UA" w:eastAsia="uk-UA"/>
        </w:rPr>
        <w:t>.2</w:t>
      </w:r>
      <w:r w:rsidR="002E5B1C" w:rsidRPr="002E5B1C">
        <w:rPr>
          <w:lang w:val="uk-UA" w:eastAsia="uk-UA"/>
        </w:rPr>
        <w:t>).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eastAsia="uk-UA"/>
        </w:rPr>
      </w:pPr>
      <w:r w:rsidRPr="002E5B1C">
        <w:rPr>
          <w:lang w:val="uk-UA" w:eastAsia="uk-UA"/>
        </w:rPr>
        <w:t>Як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бачимо,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динаміці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спостерігається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подальше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збільшення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дотаційних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відповідно,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скорочення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бюджетів-донорів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Так,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2002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налічувалося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89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бюджетів-донорів,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або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13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загальної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кількості,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2008-го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залишилося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тільки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46,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або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6,7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Бюджети-донори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різні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забезпечували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eastAsia="uk-UA"/>
        </w:rPr>
        <w:t>1,18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6,47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дохідної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частини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Основними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бюджетами-донорами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виступають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міст</w:t>
      </w:r>
      <w:r w:rsidR="002E5B1C" w:rsidRPr="002E5B1C">
        <w:rPr>
          <w:lang w:val="uk-UA" w:eastAsia="uk-UA"/>
        </w:rPr>
        <w:t xml:space="preserve">: </w:t>
      </w:r>
      <w:r w:rsidRPr="002E5B1C">
        <w:rPr>
          <w:lang w:val="uk-UA" w:eastAsia="uk-UA"/>
        </w:rPr>
        <w:t>у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2008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було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40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із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46</w:t>
      </w:r>
      <w:r w:rsidR="002E5B1C" w:rsidRPr="002E5B1C">
        <w:rPr>
          <w:lang w:eastAsia="uk-UA"/>
        </w:rPr>
        <w:t xml:space="preserve">. </w:t>
      </w:r>
      <w:r w:rsidRPr="002E5B1C">
        <w:rPr>
          <w:lang w:val="uk-UA" w:eastAsia="uk-UA"/>
        </w:rPr>
        <w:t>При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цьому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внесок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різних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неоднаковим</w:t>
      </w:r>
      <w:r w:rsidR="002E5B1C">
        <w:rPr>
          <w:lang w:eastAsia="uk-UA"/>
        </w:rPr>
        <w:t xml:space="preserve"> (</w:t>
      </w:r>
      <w:r w:rsidRPr="002E5B1C">
        <w:rPr>
          <w:lang w:eastAsia="uk-UA"/>
        </w:rPr>
        <w:t>табл</w:t>
      </w:r>
      <w:r w:rsidR="002E5B1C">
        <w:rPr>
          <w:lang w:eastAsia="uk-UA"/>
        </w:rPr>
        <w:t>.3</w:t>
      </w:r>
      <w:r w:rsidR="002E5B1C" w:rsidRPr="002E5B1C">
        <w:rPr>
          <w:lang w:eastAsia="uk-UA"/>
        </w:rPr>
        <w:t>).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До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табл</w:t>
      </w:r>
      <w:r w:rsidR="002E5B1C" w:rsidRPr="002E5B1C">
        <w:rPr>
          <w:lang w:eastAsia="uk-UA"/>
        </w:rPr>
        <w:t xml:space="preserve">.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було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включено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частка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загальній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сумі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вилучень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хоча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один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розглядуваних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періодів,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дорівнювала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або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перевищувала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2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Найбільшу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складі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трансфертів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дохідної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частини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всі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наведені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забезпечував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Києва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від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28,7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76</w:t>
      </w:r>
      <w:r w:rsidRPr="002E5B1C">
        <w:rPr>
          <w:b/>
          <w:bCs/>
          <w:lang w:val="uk-UA" w:eastAsia="uk-UA"/>
        </w:rPr>
        <w:t>,</w:t>
      </w:r>
      <w:r w:rsidRPr="002E5B1C">
        <w:rPr>
          <w:bCs/>
          <w:lang w:val="uk-UA" w:eastAsia="uk-UA"/>
        </w:rPr>
        <w:t>1</w:t>
      </w:r>
      <w:r w:rsidR="002E5B1C" w:rsidRPr="002E5B1C">
        <w:rPr>
          <w:b/>
          <w:bCs/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), </w:t>
      </w:r>
      <w:r w:rsidRPr="002E5B1C">
        <w:rPr>
          <w:lang w:val="uk-UA" w:eastAsia="uk-UA"/>
        </w:rPr>
        <w:t>вагомим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також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був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внесок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обласних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центрів,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Запоріжжя,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Донецьк,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Харків,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Дніпропетровськ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деякі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інші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цілому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проаналізовані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різні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забезпечували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78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91,1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трансфертних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надходжень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Незважаючи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те,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саме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Києва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формує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значну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зробити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висновок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те,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столиця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годує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всю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країну,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буде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абсолютно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неправомірним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Відповідно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норм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кодексу,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Києва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зараховується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100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фізичних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осіб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плати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землю,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тоді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міст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обласного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республіканського</w:t>
      </w:r>
      <w:r w:rsidR="002E5B1C" w:rsidRPr="002E5B1C">
        <w:rPr>
          <w:lang w:val="uk-UA" w:eastAsia="uk-UA"/>
        </w:rPr>
        <w:t xml:space="preserve">) </w:t>
      </w:r>
      <w:r w:rsidRPr="002E5B1C">
        <w:rPr>
          <w:lang w:val="uk-UA" w:eastAsia="uk-UA"/>
        </w:rPr>
        <w:t>значення</w:t>
      </w:r>
      <w:r w:rsidR="002E5B1C" w:rsidRPr="002E5B1C">
        <w:rPr>
          <w:lang w:eastAsia="uk-UA"/>
        </w:rPr>
        <w:t xml:space="preserve"> - </w:t>
      </w:r>
      <w:r w:rsidRPr="002E5B1C">
        <w:rPr>
          <w:lang w:val="uk-UA" w:eastAsia="uk-UA"/>
        </w:rPr>
        <w:t>по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75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%,</w:t>
      </w:r>
      <w:r w:rsidR="002E5B1C" w:rsidRPr="002E5B1C">
        <w:rPr>
          <w:lang w:eastAsia="uk-UA"/>
        </w:rPr>
        <w:t xml:space="preserve"> </w:t>
      </w: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міст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районного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значення</w:t>
      </w:r>
      <w:r w:rsidR="002E5B1C" w:rsidRPr="002E5B1C">
        <w:rPr>
          <w:lang w:eastAsia="uk-UA"/>
        </w:rPr>
        <w:t xml:space="preserve"> - </w:t>
      </w:r>
      <w:r w:rsidRPr="002E5B1C">
        <w:rPr>
          <w:lang w:val="uk-UA" w:eastAsia="uk-UA"/>
        </w:rPr>
        <w:t>відповідно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25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60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Таким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чином,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ситуація,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коли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певні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адміністративно-територіальні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одиниці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виступають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донорами,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інші</w:t>
      </w:r>
      <w:r w:rsidR="002E5B1C" w:rsidRPr="002E5B1C">
        <w:rPr>
          <w:lang w:eastAsia="uk-UA"/>
        </w:rPr>
        <w:t xml:space="preserve"> - </w:t>
      </w:r>
      <w:r w:rsidRPr="002E5B1C">
        <w:rPr>
          <w:lang w:val="uk-UA" w:eastAsia="uk-UA"/>
        </w:rPr>
        <w:t>реципієнтами,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обов'язково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означає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кращий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розвиток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одних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територій,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вищий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рівень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сплати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ними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податків,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продуктивнішу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роботу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органів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влади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порівняно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гірші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інших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територій</w:t>
      </w:r>
      <w:r w:rsidR="002E5B1C" w:rsidRPr="002E5B1C">
        <w:rPr>
          <w:lang w:val="uk-UA" w:eastAsia="uk-UA"/>
        </w:rPr>
        <w:t xml:space="preserve">; </w:t>
      </w:r>
      <w:r w:rsidRPr="002E5B1C">
        <w:rPr>
          <w:lang w:val="uk-UA" w:eastAsia="uk-UA"/>
        </w:rPr>
        <w:t>вона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може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визначатися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суб'єктивно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встановленими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нормативами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зарахування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різних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>.</w:t>
      </w:r>
    </w:p>
    <w:p w:rsidR="009C6978" w:rsidRPr="002E5B1C" w:rsidRDefault="009C6978" w:rsidP="002E5B1C">
      <w:pPr>
        <w:tabs>
          <w:tab w:val="left" w:pos="726"/>
        </w:tabs>
        <w:ind w:left="709" w:firstLine="0"/>
        <w:rPr>
          <w:bCs/>
          <w:lang w:val="uk-UA" w:eastAsia="uk-UA"/>
        </w:rPr>
      </w:pPr>
      <w:r w:rsidRPr="002E5B1C">
        <w:rPr>
          <w:lang w:val="uk-UA" w:eastAsia="uk-UA"/>
        </w:rPr>
        <w:br w:type="page"/>
        <w:t>Таблиця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</w:t>
      </w:r>
      <w:r w:rsidR="002E5B1C" w:rsidRPr="002E5B1C">
        <w:rPr>
          <w:lang w:eastAsia="uk-UA"/>
        </w:rPr>
        <w:t xml:space="preserve">. </w:t>
      </w:r>
      <w:r w:rsidRPr="002E5B1C">
        <w:rPr>
          <w:bCs/>
          <w:lang w:val="uk-UA" w:eastAsia="uk-UA"/>
        </w:rPr>
        <w:t>Склад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бюджетів,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які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мали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міжбюджетні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відносини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з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державним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бюджетом</w:t>
      </w:r>
      <w:r w:rsidR="002E5B1C">
        <w:rPr>
          <w:bCs/>
          <w:lang w:eastAsia="uk-UA"/>
        </w:rPr>
        <w:t xml:space="preserve"> (</w:t>
      </w:r>
      <w:r w:rsidRPr="002E5B1C">
        <w:rPr>
          <w:bCs/>
          <w:lang w:eastAsia="uk-UA"/>
        </w:rPr>
        <w:t>2002</w:t>
      </w:r>
      <w:r w:rsidR="002E5B1C" w:rsidRPr="002E5B1C">
        <w:rPr>
          <w:bCs/>
          <w:lang w:eastAsia="uk-UA"/>
        </w:rPr>
        <w:t>-</w:t>
      </w:r>
      <w:r w:rsidRPr="002E5B1C">
        <w:rPr>
          <w:bCs/>
          <w:lang w:eastAsia="uk-UA"/>
        </w:rPr>
        <w:t>2008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роки</w:t>
      </w:r>
      <w:r w:rsidR="002E5B1C" w:rsidRPr="002E5B1C">
        <w:rPr>
          <w:bCs/>
          <w:lang w:val="uk-UA" w:eastAsia="uk-UA"/>
        </w:rPr>
        <w:t xml:space="preserve">)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9"/>
        <w:gridCol w:w="789"/>
        <w:gridCol w:w="791"/>
        <w:gridCol w:w="790"/>
        <w:gridCol w:w="791"/>
        <w:gridCol w:w="790"/>
        <w:gridCol w:w="791"/>
        <w:gridCol w:w="791"/>
      </w:tblGrid>
      <w:tr w:rsidR="009C6978" w:rsidRPr="002E5B1C" w:rsidTr="005561B4">
        <w:trPr>
          <w:trHeight w:val="269"/>
          <w:jc w:val="center"/>
        </w:trPr>
        <w:tc>
          <w:tcPr>
            <w:tcW w:w="3682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Показник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2002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2003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2004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2005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2006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2007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2008</w:t>
            </w:r>
          </w:p>
        </w:tc>
      </w:tr>
      <w:tr w:rsidR="009C6978" w:rsidRPr="002E5B1C" w:rsidTr="005561B4">
        <w:trPr>
          <w:trHeight w:val="394"/>
          <w:jc w:val="center"/>
        </w:trPr>
        <w:tc>
          <w:tcPr>
            <w:tcW w:w="3682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Усього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бюджетів,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що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мають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відносини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з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державним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бюджетом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686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686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689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690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690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691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691</w:t>
            </w:r>
          </w:p>
        </w:tc>
      </w:tr>
      <w:tr w:rsidR="009C6978" w:rsidRPr="002E5B1C" w:rsidTr="005561B4">
        <w:trPr>
          <w:trHeight w:val="230"/>
          <w:jc w:val="center"/>
        </w:trPr>
        <w:tc>
          <w:tcPr>
            <w:tcW w:w="3682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з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них</w:t>
            </w:r>
            <w:r w:rsidR="002E5B1C" w:rsidRPr="005561B4">
              <w:rPr>
                <w:lang w:val="uk-UA" w:eastAsia="uk-UA"/>
              </w:rPr>
              <w:t xml:space="preserve">: 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</w:p>
        </w:tc>
      </w:tr>
      <w:tr w:rsidR="009C6978" w:rsidRPr="002E5B1C" w:rsidTr="005561B4">
        <w:trPr>
          <w:trHeight w:val="254"/>
          <w:jc w:val="center"/>
        </w:trPr>
        <w:tc>
          <w:tcPr>
            <w:tcW w:w="3682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бюджетів-донорів,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усього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89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77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56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55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41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46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46</w:t>
            </w:r>
          </w:p>
        </w:tc>
      </w:tr>
      <w:tr w:rsidR="009C6978" w:rsidRPr="002E5B1C" w:rsidTr="005561B4">
        <w:trPr>
          <w:trHeight w:val="245"/>
          <w:jc w:val="center"/>
        </w:trPr>
        <w:tc>
          <w:tcPr>
            <w:tcW w:w="3682" w:type="dxa"/>
            <w:shd w:val="clear" w:color="auto" w:fill="auto"/>
          </w:tcPr>
          <w:p w:rsidR="009C6978" w:rsidRPr="002E5B1C" w:rsidRDefault="009C6978" w:rsidP="002E5B1C">
            <w:pPr>
              <w:pStyle w:val="af8"/>
              <w:rPr>
                <w:lang w:eastAsia="uk-UA"/>
              </w:rPr>
            </w:pPr>
            <w:r w:rsidRPr="005561B4">
              <w:rPr>
                <w:lang w:val="uk-UA" w:eastAsia="uk-UA"/>
              </w:rPr>
              <w:t>у</w:t>
            </w:r>
            <w:r w:rsidR="002E5B1C" w:rsidRPr="002E5B1C">
              <w:rPr>
                <w:lang w:eastAsia="uk-UA"/>
              </w:rPr>
              <w:t xml:space="preserve"> </w:t>
            </w:r>
            <w:r w:rsidRPr="002E5B1C">
              <w:rPr>
                <w:lang w:eastAsia="uk-UA"/>
              </w:rPr>
              <w:t>т</w:t>
            </w:r>
            <w:r w:rsidR="002E5B1C" w:rsidRPr="002E5B1C">
              <w:rPr>
                <w:lang w:eastAsia="uk-UA"/>
              </w:rPr>
              <w:t xml:space="preserve">. </w:t>
            </w:r>
            <w:r w:rsidRPr="002E5B1C">
              <w:rPr>
                <w:lang w:eastAsia="uk-UA"/>
              </w:rPr>
              <w:t>ч</w:t>
            </w:r>
            <w:r w:rsidR="002E5B1C" w:rsidRPr="002E5B1C">
              <w:rPr>
                <w:lang w:eastAsia="uk-UA"/>
              </w:rPr>
              <w:t xml:space="preserve">. 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</w:p>
        </w:tc>
      </w:tr>
      <w:tr w:rsidR="009C6978" w:rsidRPr="002E5B1C" w:rsidTr="005561B4">
        <w:trPr>
          <w:trHeight w:val="226"/>
          <w:jc w:val="center"/>
        </w:trPr>
        <w:tc>
          <w:tcPr>
            <w:tcW w:w="3682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бюджетів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міст</w:t>
            </w:r>
            <w:r w:rsidR="002E5B1C" w:rsidRPr="002E5B1C">
              <w:rPr>
                <w:lang w:eastAsia="uk-UA"/>
              </w:rPr>
              <w:t xml:space="preserve"> - </w:t>
            </w:r>
            <w:r w:rsidRPr="005561B4">
              <w:rPr>
                <w:lang w:val="uk-UA" w:eastAsia="uk-UA"/>
              </w:rPr>
              <w:t>обласних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центрів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23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16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12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12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10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10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11</w:t>
            </w:r>
          </w:p>
        </w:tc>
      </w:tr>
      <w:tr w:rsidR="009C6978" w:rsidRPr="002E5B1C" w:rsidTr="005561B4">
        <w:trPr>
          <w:trHeight w:val="235"/>
          <w:jc w:val="center"/>
        </w:trPr>
        <w:tc>
          <w:tcPr>
            <w:tcW w:w="3682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бюджетів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інших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міст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55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52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37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38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27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32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28</w:t>
            </w:r>
          </w:p>
        </w:tc>
      </w:tr>
      <w:tr w:rsidR="009C6978" w:rsidRPr="002E5B1C" w:rsidTr="005561B4">
        <w:trPr>
          <w:trHeight w:val="240"/>
          <w:jc w:val="center"/>
        </w:trPr>
        <w:tc>
          <w:tcPr>
            <w:tcW w:w="3682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бюджетів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областей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4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</w:t>
            </w:r>
          </w:p>
        </w:tc>
      </w:tr>
      <w:tr w:rsidR="009C6978" w:rsidRPr="002E5B1C" w:rsidTr="005561B4">
        <w:trPr>
          <w:trHeight w:val="240"/>
          <w:jc w:val="center"/>
        </w:trPr>
        <w:tc>
          <w:tcPr>
            <w:tcW w:w="3682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бюджетів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районів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7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4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5</w:t>
            </w:r>
          </w:p>
        </w:tc>
      </w:tr>
      <w:tr w:rsidR="009C6978" w:rsidRPr="002E5B1C" w:rsidTr="005561B4">
        <w:trPr>
          <w:trHeight w:val="240"/>
          <w:jc w:val="center"/>
        </w:trPr>
        <w:tc>
          <w:tcPr>
            <w:tcW w:w="3682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бюджету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Києва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</w:t>
            </w:r>
          </w:p>
        </w:tc>
      </w:tr>
      <w:tr w:rsidR="009C6978" w:rsidRPr="002E5B1C" w:rsidTr="005561B4">
        <w:trPr>
          <w:trHeight w:val="398"/>
          <w:jc w:val="center"/>
        </w:trPr>
        <w:tc>
          <w:tcPr>
            <w:tcW w:w="3682" w:type="dxa"/>
            <w:shd w:val="clear" w:color="auto" w:fill="auto"/>
          </w:tcPr>
          <w:p w:rsidR="009C6978" w:rsidRPr="002E5B1C" w:rsidRDefault="009C6978" w:rsidP="002E5B1C">
            <w:pPr>
              <w:pStyle w:val="af8"/>
              <w:rPr>
                <w:lang w:eastAsia="uk-UA"/>
              </w:rPr>
            </w:pPr>
            <w:r w:rsidRPr="005561B4">
              <w:rPr>
                <w:lang w:val="uk-UA" w:eastAsia="uk-UA"/>
              </w:rPr>
              <w:t>Частка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бюджетів-донорів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у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загальній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кількості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бюджетів,</w:t>
            </w:r>
            <w:r w:rsidR="002E5B1C" w:rsidRPr="002E5B1C">
              <w:rPr>
                <w:lang w:eastAsia="uk-UA"/>
              </w:rPr>
              <w:t xml:space="preserve"> </w:t>
            </w:r>
            <w:r w:rsidRPr="002E5B1C">
              <w:rPr>
                <w:lang w:eastAsia="uk-UA"/>
              </w:rPr>
              <w:t>%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13,0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11,2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8,1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8,0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5,9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6,7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6,7</w:t>
            </w:r>
          </w:p>
        </w:tc>
      </w:tr>
      <w:tr w:rsidR="009C6978" w:rsidRPr="002E5B1C" w:rsidTr="005561B4">
        <w:trPr>
          <w:trHeight w:val="394"/>
          <w:jc w:val="center"/>
        </w:trPr>
        <w:tc>
          <w:tcPr>
            <w:tcW w:w="3682" w:type="dxa"/>
            <w:shd w:val="clear" w:color="auto" w:fill="auto"/>
          </w:tcPr>
          <w:p w:rsidR="009C6978" w:rsidRPr="002E5B1C" w:rsidRDefault="009C6978" w:rsidP="002E5B1C">
            <w:pPr>
              <w:pStyle w:val="af8"/>
              <w:rPr>
                <w:lang w:eastAsia="uk-UA"/>
              </w:rPr>
            </w:pPr>
            <w:r w:rsidRPr="005561B4">
              <w:rPr>
                <w:lang w:val="uk-UA" w:eastAsia="uk-UA"/>
              </w:rPr>
              <w:t>Частка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дотаційних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бюджетів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у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загальній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кількості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бюджетів,</w:t>
            </w:r>
            <w:r w:rsidR="002E5B1C" w:rsidRPr="002E5B1C">
              <w:rPr>
                <w:lang w:eastAsia="uk-UA"/>
              </w:rPr>
              <w:t xml:space="preserve"> </w:t>
            </w:r>
            <w:r w:rsidRPr="002E5B1C">
              <w:rPr>
                <w:lang w:eastAsia="uk-UA"/>
              </w:rPr>
              <w:t>%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87,0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88,8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91,9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92,0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94,1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93,3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93,3</w:t>
            </w:r>
          </w:p>
        </w:tc>
      </w:tr>
      <w:tr w:rsidR="009C6978" w:rsidRPr="002E5B1C" w:rsidTr="005561B4">
        <w:trPr>
          <w:trHeight w:val="408"/>
          <w:jc w:val="center"/>
        </w:trPr>
        <w:tc>
          <w:tcPr>
            <w:tcW w:w="3682" w:type="dxa"/>
            <w:shd w:val="clear" w:color="auto" w:fill="auto"/>
          </w:tcPr>
          <w:p w:rsidR="009C6978" w:rsidRPr="002E5B1C" w:rsidRDefault="009C6978" w:rsidP="002E5B1C">
            <w:pPr>
              <w:pStyle w:val="af8"/>
              <w:rPr>
                <w:lang w:eastAsia="uk-UA"/>
              </w:rPr>
            </w:pPr>
            <w:r w:rsidRPr="005561B4">
              <w:rPr>
                <w:lang w:val="uk-UA" w:eastAsia="uk-UA"/>
              </w:rPr>
              <w:t>Частка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міжбюджетних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трансфертів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у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дохідній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частині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державного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бюджету,</w:t>
            </w:r>
            <w:r w:rsidR="002E5B1C" w:rsidRPr="002E5B1C">
              <w:rPr>
                <w:lang w:eastAsia="uk-UA"/>
              </w:rPr>
              <w:t xml:space="preserve"> </w:t>
            </w:r>
            <w:r w:rsidRPr="002E5B1C">
              <w:rPr>
                <w:lang w:eastAsia="uk-UA"/>
              </w:rPr>
              <w:t>%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6,47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4,30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2,26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1,39</w:t>
            </w:r>
          </w:p>
        </w:tc>
        <w:tc>
          <w:tcPr>
            <w:tcW w:w="810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1,18</w:t>
            </w:r>
          </w:p>
        </w:tc>
        <w:tc>
          <w:tcPr>
            <w:tcW w:w="811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2,62</w:t>
            </w:r>
          </w:p>
        </w:tc>
        <w:tc>
          <w:tcPr>
            <w:tcW w:w="811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н</w:t>
            </w:r>
            <w:r w:rsidR="002E5B1C" w:rsidRPr="005561B4">
              <w:rPr>
                <w:lang w:val="uk-UA" w:eastAsia="uk-UA"/>
              </w:rPr>
              <w:t xml:space="preserve">. </w:t>
            </w:r>
            <w:r w:rsidRPr="005561B4">
              <w:rPr>
                <w:lang w:val="uk-UA" w:eastAsia="uk-UA"/>
              </w:rPr>
              <w:t>д</w:t>
            </w:r>
            <w:r w:rsidR="002E5B1C" w:rsidRPr="005561B4">
              <w:rPr>
                <w:lang w:val="uk-UA" w:eastAsia="uk-UA"/>
              </w:rPr>
              <w:t xml:space="preserve">. </w:t>
            </w:r>
          </w:p>
        </w:tc>
      </w:tr>
    </w:tbl>
    <w:p w:rsidR="009C6978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i/>
          <w:iCs/>
          <w:lang w:val="uk-UA" w:eastAsia="uk-UA"/>
        </w:rPr>
      </w:pPr>
    </w:p>
    <w:p w:rsidR="009C6978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ind w:left="709" w:firstLine="0"/>
        <w:rPr>
          <w:bCs/>
          <w:lang w:eastAsia="uk-UA"/>
        </w:rPr>
      </w:pPr>
      <w:r w:rsidRPr="002E5B1C">
        <w:rPr>
          <w:lang w:val="uk-UA" w:eastAsia="uk-UA"/>
        </w:rPr>
        <w:t>Таблиця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3</w:t>
      </w:r>
      <w:r w:rsidR="002E5B1C" w:rsidRPr="002E5B1C">
        <w:rPr>
          <w:lang w:eastAsia="uk-UA"/>
        </w:rPr>
        <w:t xml:space="preserve">. </w:t>
      </w:r>
      <w:r w:rsidRPr="002E5B1C">
        <w:rPr>
          <w:bCs/>
          <w:lang w:val="uk-UA" w:eastAsia="uk-UA"/>
        </w:rPr>
        <w:t>Основні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бюджети-донори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та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їх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частка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у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загальній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сумі</w:t>
      </w:r>
      <w:r w:rsid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міжбюджетних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трансфертів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дохідної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частини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державного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бюджету</w:t>
      </w:r>
      <w:r w:rsidR="002E5B1C">
        <w:rPr>
          <w:bCs/>
          <w:lang w:val="uk-UA" w:eastAsia="uk-UA"/>
        </w:rPr>
        <w:t xml:space="preserve"> </w:t>
      </w:r>
      <w:r w:rsidR="002E5B1C">
        <w:rPr>
          <w:bCs/>
          <w:lang w:eastAsia="uk-UA"/>
        </w:rPr>
        <w:t>(</w:t>
      </w:r>
      <w:r w:rsidRPr="002E5B1C">
        <w:rPr>
          <w:bCs/>
          <w:lang w:eastAsia="uk-UA"/>
        </w:rPr>
        <w:t>2002-200</w:t>
      </w:r>
      <w:r w:rsidRPr="002E5B1C">
        <w:rPr>
          <w:bCs/>
          <w:lang w:val="uk-UA" w:eastAsia="uk-UA"/>
        </w:rPr>
        <w:t>9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роки</w:t>
      </w:r>
      <w:r w:rsidR="002E5B1C" w:rsidRPr="002E5B1C">
        <w:rPr>
          <w:bCs/>
          <w:lang w:val="uk-UA" w:eastAsia="uk-UA"/>
        </w:rPr>
        <w:t>),</w:t>
      </w:r>
      <w:r w:rsidR="002E5B1C" w:rsidRPr="002E5B1C">
        <w:rPr>
          <w:bCs/>
          <w:lang w:eastAsia="uk-UA"/>
        </w:rPr>
        <w:t xml:space="preserve"> </w:t>
      </w:r>
      <w:r w:rsidRPr="002E5B1C">
        <w:rPr>
          <w:bCs/>
          <w:lang w:eastAsia="uk-UA"/>
        </w:rPr>
        <w:t>%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957"/>
        <w:gridCol w:w="957"/>
        <w:gridCol w:w="958"/>
        <w:gridCol w:w="958"/>
        <w:gridCol w:w="958"/>
        <w:gridCol w:w="958"/>
        <w:gridCol w:w="959"/>
      </w:tblGrid>
      <w:tr w:rsidR="009C6978" w:rsidRPr="002E5B1C" w:rsidTr="005561B4">
        <w:trPr>
          <w:trHeight w:val="269"/>
          <w:jc w:val="center"/>
        </w:trPr>
        <w:tc>
          <w:tcPr>
            <w:tcW w:w="2467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Місцевий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2002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2003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2004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2005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2006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2007</w:t>
            </w:r>
          </w:p>
        </w:tc>
        <w:tc>
          <w:tcPr>
            <w:tcW w:w="985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/>
              </w:rPr>
            </w:pPr>
            <w:r w:rsidRPr="002E5B1C">
              <w:t>200</w:t>
            </w:r>
            <w:r w:rsidRPr="005561B4">
              <w:rPr>
                <w:lang w:val="uk-UA"/>
              </w:rPr>
              <w:t>9</w:t>
            </w:r>
          </w:p>
        </w:tc>
      </w:tr>
      <w:tr w:rsidR="009C6978" w:rsidRPr="002E5B1C" w:rsidTr="005561B4">
        <w:trPr>
          <w:trHeight w:val="254"/>
          <w:jc w:val="center"/>
        </w:trPr>
        <w:tc>
          <w:tcPr>
            <w:tcW w:w="2467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Києва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35,4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28,7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49,7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73,0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76,1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35,4</w:t>
            </w:r>
          </w:p>
        </w:tc>
        <w:tc>
          <w:tcPr>
            <w:tcW w:w="985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28,7</w:t>
            </w:r>
          </w:p>
        </w:tc>
      </w:tr>
      <w:tr w:rsidR="009C6978" w:rsidRPr="002E5B1C" w:rsidTr="005561B4">
        <w:trPr>
          <w:trHeight w:val="245"/>
          <w:jc w:val="center"/>
        </w:trPr>
        <w:tc>
          <w:tcPr>
            <w:tcW w:w="2467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Запоріжжя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8,9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8,7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5,7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2,8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2,2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8,9</w:t>
            </w:r>
          </w:p>
        </w:tc>
        <w:tc>
          <w:tcPr>
            <w:tcW w:w="985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8,7</w:t>
            </w:r>
          </w:p>
        </w:tc>
      </w:tr>
      <w:tr w:rsidR="009C6978" w:rsidRPr="002E5B1C" w:rsidTr="005561B4">
        <w:trPr>
          <w:trHeight w:val="245"/>
          <w:jc w:val="center"/>
        </w:trPr>
        <w:tc>
          <w:tcPr>
            <w:tcW w:w="2467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Донецька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3,6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7,2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6,7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3,9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4,5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3,6</w:t>
            </w:r>
          </w:p>
        </w:tc>
        <w:tc>
          <w:tcPr>
            <w:tcW w:w="985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7,2</w:t>
            </w:r>
          </w:p>
        </w:tc>
      </w:tr>
      <w:tr w:rsidR="009C6978" w:rsidRPr="002E5B1C" w:rsidTr="005561B4">
        <w:trPr>
          <w:trHeight w:val="250"/>
          <w:jc w:val="center"/>
        </w:trPr>
        <w:tc>
          <w:tcPr>
            <w:tcW w:w="2467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Маріуполя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5,2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6,9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6,3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2,9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1,8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5,2</w:t>
            </w:r>
          </w:p>
        </w:tc>
        <w:tc>
          <w:tcPr>
            <w:tcW w:w="985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6,9</w:t>
            </w:r>
          </w:p>
        </w:tc>
      </w:tr>
      <w:tr w:rsidR="009C6978" w:rsidRPr="002E5B1C" w:rsidTr="005561B4">
        <w:trPr>
          <w:trHeight w:val="245"/>
          <w:jc w:val="center"/>
        </w:trPr>
        <w:tc>
          <w:tcPr>
            <w:tcW w:w="2467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Харкова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5,3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6,7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5,4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2,1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</w:t>
            </w:r>
            <w:r w:rsidR="002E5B1C">
              <w:t>.3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5,3</w:t>
            </w:r>
          </w:p>
        </w:tc>
        <w:tc>
          <w:tcPr>
            <w:tcW w:w="985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6,7</w:t>
            </w:r>
          </w:p>
        </w:tc>
      </w:tr>
      <w:tr w:rsidR="009C6978" w:rsidRPr="002E5B1C" w:rsidTr="005561B4">
        <w:trPr>
          <w:trHeight w:val="245"/>
          <w:jc w:val="center"/>
        </w:trPr>
        <w:tc>
          <w:tcPr>
            <w:tcW w:w="2467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Дніпропетровська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5,0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6,7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6,0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3,9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3,9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5,0</w:t>
            </w:r>
          </w:p>
        </w:tc>
        <w:tc>
          <w:tcPr>
            <w:tcW w:w="985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6,7</w:t>
            </w:r>
          </w:p>
        </w:tc>
      </w:tr>
      <w:tr w:rsidR="009C6978" w:rsidRPr="002E5B1C" w:rsidTr="005561B4">
        <w:trPr>
          <w:trHeight w:val="245"/>
          <w:jc w:val="center"/>
        </w:trPr>
        <w:tc>
          <w:tcPr>
            <w:tcW w:w="2467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Дніпропетровської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області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3,6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3,9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1,5</w:t>
            </w:r>
          </w:p>
        </w:tc>
        <w:tc>
          <w:tcPr>
            <w:tcW w:w="984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rFonts w:eastAsia="MS Mincho"/>
              </w:rPr>
            </w:pPr>
            <w:r w:rsidRPr="005561B4">
              <w:rPr>
                <w:rFonts w:eastAsia="MS Mincho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rFonts w:eastAsia="MS Mincho"/>
              </w:rPr>
            </w:pPr>
            <w:r w:rsidRPr="005561B4">
              <w:rPr>
                <w:rFonts w:eastAsia="MS Mincho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3,6</w:t>
            </w:r>
          </w:p>
        </w:tc>
        <w:tc>
          <w:tcPr>
            <w:tcW w:w="985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3,9</w:t>
            </w:r>
          </w:p>
        </w:tc>
      </w:tr>
      <w:tr w:rsidR="009C6978" w:rsidRPr="002E5B1C" w:rsidTr="005561B4">
        <w:trPr>
          <w:trHeight w:val="250"/>
          <w:jc w:val="center"/>
        </w:trPr>
        <w:tc>
          <w:tcPr>
            <w:tcW w:w="2467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Кривого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Рогу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2,9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3,3</w:t>
            </w:r>
          </w:p>
        </w:tc>
        <w:tc>
          <w:tcPr>
            <w:tcW w:w="984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rFonts w:eastAsia="MS Mincho"/>
              </w:rPr>
            </w:pPr>
            <w:r w:rsidRPr="005561B4">
              <w:rPr>
                <w:rFonts w:eastAsia="MS Mincho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rFonts w:eastAsia="MS Mincho"/>
              </w:rPr>
            </w:pPr>
            <w:r w:rsidRPr="005561B4">
              <w:rPr>
                <w:rFonts w:eastAsia="MS Mincho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rFonts w:eastAsia="MS Mincho"/>
              </w:rPr>
            </w:pPr>
            <w:r w:rsidRPr="005561B4">
              <w:rPr>
                <w:rFonts w:eastAsia="MS Mincho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2,9</w:t>
            </w:r>
          </w:p>
        </w:tc>
        <w:tc>
          <w:tcPr>
            <w:tcW w:w="985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3,3</w:t>
            </w:r>
          </w:p>
        </w:tc>
      </w:tr>
      <w:tr w:rsidR="009C6978" w:rsidRPr="002E5B1C" w:rsidTr="005561B4">
        <w:trPr>
          <w:trHeight w:val="250"/>
          <w:jc w:val="center"/>
        </w:trPr>
        <w:tc>
          <w:tcPr>
            <w:tcW w:w="2467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Львова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2,6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3,0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2,3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1,6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1,2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2,6</w:t>
            </w:r>
          </w:p>
        </w:tc>
        <w:tc>
          <w:tcPr>
            <w:tcW w:w="985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3,0</w:t>
            </w:r>
          </w:p>
        </w:tc>
      </w:tr>
      <w:tr w:rsidR="009C6978" w:rsidRPr="002E5B1C" w:rsidTr="005561B4">
        <w:trPr>
          <w:trHeight w:val="245"/>
          <w:jc w:val="center"/>
        </w:trPr>
        <w:tc>
          <w:tcPr>
            <w:tcW w:w="2467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Одеси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4,2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1,5</w:t>
            </w:r>
          </w:p>
        </w:tc>
        <w:tc>
          <w:tcPr>
            <w:tcW w:w="984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rFonts w:eastAsia="MS Mincho"/>
              </w:rPr>
            </w:pPr>
            <w:r w:rsidRPr="005561B4">
              <w:rPr>
                <w:rFonts w:eastAsia="MS Mincho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rFonts w:eastAsia="MS Mincho"/>
              </w:rPr>
            </w:pPr>
            <w:r w:rsidRPr="005561B4">
              <w:rPr>
                <w:rFonts w:eastAsia="MS Mincho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rFonts w:eastAsia="MS Mincho"/>
              </w:rPr>
            </w:pPr>
            <w:r w:rsidRPr="005561B4">
              <w:rPr>
                <w:rFonts w:eastAsia="MS Mincho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4,2</w:t>
            </w:r>
          </w:p>
        </w:tc>
        <w:tc>
          <w:tcPr>
            <w:tcW w:w="985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1,5</w:t>
            </w:r>
          </w:p>
        </w:tc>
      </w:tr>
      <w:tr w:rsidR="009C6978" w:rsidRPr="002E5B1C" w:rsidTr="005561B4">
        <w:trPr>
          <w:trHeight w:val="245"/>
          <w:jc w:val="center"/>
        </w:trPr>
        <w:tc>
          <w:tcPr>
            <w:tcW w:w="2467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Донецької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області</w:t>
            </w:r>
          </w:p>
        </w:tc>
        <w:tc>
          <w:tcPr>
            <w:tcW w:w="984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rFonts w:eastAsia="MS Mincho"/>
              </w:rPr>
            </w:pPr>
            <w:r w:rsidRPr="005561B4">
              <w:rPr>
                <w:rFonts w:eastAsia="MS Mincho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1,4</w:t>
            </w:r>
          </w:p>
        </w:tc>
        <w:tc>
          <w:tcPr>
            <w:tcW w:w="984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rFonts w:eastAsia="MS Mincho"/>
              </w:rPr>
            </w:pPr>
            <w:r w:rsidRPr="005561B4">
              <w:rPr>
                <w:rFonts w:eastAsia="MS Mincho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rFonts w:eastAsia="MS Mincho"/>
              </w:rPr>
            </w:pPr>
            <w:r w:rsidRPr="005561B4">
              <w:rPr>
                <w:rFonts w:eastAsia="MS Mincho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/>
              </w:rPr>
            </w:pPr>
          </w:p>
        </w:tc>
        <w:tc>
          <w:tcPr>
            <w:tcW w:w="984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rFonts w:eastAsia="MS Mincho"/>
              </w:rPr>
            </w:pPr>
            <w:r w:rsidRPr="005561B4">
              <w:rPr>
                <w:rFonts w:eastAsia="MS Mincho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1,4</w:t>
            </w:r>
          </w:p>
        </w:tc>
      </w:tr>
      <w:tr w:rsidR="009C6978" w:rsidRPr="002E5B1C" w:rsidTr="005561B4">
        <w:trPr>
          <w:trHeight w:val="245"/>
          <w:jc w:val="center"/>
        </w:trPr>
        <w:tc>
          <w:tcPr>
            <w:tcW w:w="2467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Миколаєва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2,1</w:t>
            </w:r>
          </w:p>
        </w:tc>
        <w:tc>
          <w:tcPr>
            <w:tcW w:w="984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rFonts w:eastAsia="MS Mincho"/>
              </w:rPr>
            </w:pPr>
            <w:r w:rsidRPr="005561B4">
              <w:rPr>
                <w:rFonts w:eastAsia="MS Mincho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rFonts w:eastAsia="MS Mincho"/>
              </w:rPr>
            </w:pPr>
            <w:r w:rsidRPr="005561B4">
              <w:rPr>
                <w:rFonts w:eastAsia="MS Mincho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rFonts w:eastAsia="MS Mincho"/>
              </w:rPr>
            </w:pPr>
            <w:r w:rsidRPr="005561B4">
              <w:rPr>
                <w:rFonts w:eastAsia="MS Mincho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rFonts w:eastAsia="MS Mincho"/>
              </w:rPr>
            </w:pPr>
            <w:r w:rsidRPr="005561B4">
              <w:rPr>
                <w:rFonts w:eastAsia="MS Mincho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2,1</w:t>
            </w:r>
          </w:p>
        </w:tc>
        <w:tc>
          <w:tcPr>
            <w:tcW w:w="985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rFonts w:eastAsia="MS Mincho"/>
              </w:rPr>
            </w:pPr>
            <w:r w:rsidRPr="005561B4">
              <w:rPr>
                <w:rFonts w:eastAsia="MS Mincho"/>
              </w:rPr>
              <w:t>-</w:t>
            </w:r>
          </w:p>
        </w:tc>
      </w:tr>
      <w:tr w:rsidR="009C6978" w:rsidRPr="002E5B1C" w:rsidTr="005561B4">
        <w:trPr>
          <w:trHeight w:val="259"/>
          <w:jc w:val="center"/>
        </w:trPr>
        <w:tc>
          <w:tcPr>
            <w:tcW w:w="2467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Разом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за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наведеними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бюджетами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79,0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78,0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83,7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90,2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91,1</w:t>
            </w:r>
          </w:p>
        </w:tc>
        <w:tc>
          <w:tcPr>
            <w:tcW w:w="984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79,0</w:t>
            </w:r>
          </w:p>
        </w:tc>
        <w:tc>
          <w:tcPr>
            <w:tcW w:w="985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78,0</w:t>
            </w:r>
          </w:p>
        </w:tc>
      </w:tr>
    </w:tbl>
    <w:p w:rsidR="002E5B1C" w:rsidRPr="002E5B1C" w:rsidRDefault="002E5B1C" w:rsidP="002E5B1C">
      <w:pPr>
        <w:tabs>
          <w:tab w:val="left" w:pos="726"/>
        </w:tabs>
        <w:autoSpaceDE w:val="0"/>
        <w:autoSpaceDN w:val="0"/>
        <w:adjustRightInd w:val="0"/>
        <w:rPr>
          <w:i/>
          <w:iCs/>
          <w:lang w:val="uk-UA" w:eastAsia="uk-UA"/>
        </w:rPr>
      </w:pP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Слід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закцентувати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увагу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одному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показнику</w:t>
      </w:r>
      <w:r w:rsidR="002E5B1C" w:rsidRPr="002E5B1C">
        <w:rPr>
          <w:lang w:eastAsia="uk-UA"/>
        </w:rPr>
        <w:t xml:space="preserve"> -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розрахункового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обсягу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спрямовується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У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200</w:t>
      </w:r>
      <w:r w:rsidRPr="002E5B1C">
        <w:rPr>
          <w:lang w:val="uk-UA" w:eastAsia="uk-UA"/>
        </w:rPr>
        <w:t>9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даний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коливався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межах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0,05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бюджет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Трускавця</w:t>
      </w:r>
      <w:r w:rsidR="002E5B1C" w:rsidRPr="002E5B1C">
        <w:rPr>
          <w:lang w:val="uk-UA" w:eastAsia="uk-UA"/>
        </w:rPr>
        <w:t xml:space="preserve">) </w:t>
      </w:r>
      <w:r w:rsidRPr="002E5B1C">
        <w:rPr>
          <w:lang w:val="uk-UA" w:eastAsia="uk-UA"/>
        </w:rPr>
        <w:t>до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52,94%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бюджет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Києва</w:t>
      </w:r>
      <w:r w:rsidR="002E5B1C" w:rsidRPr="002E5B1C">
        <w:rPr>
          <w:lang w:val="uk-UA" w:eastAsia="uk-UA"/>
        </w:rPr>
        <w:t xml:space="preserve">).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цілому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39,1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або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18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передають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10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розрахункового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обсягу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своїх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; </w:t>
      </w:r>
      <w:r w:rsidRPr="002E5B1C">
        <w:rPr>
          <w:lang w:val="uk-UA" w:eastAsia="uk-UA"/>
        </w:rPr>
        <w:t>19,6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або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9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бюджетів,</w:t>
      </w:r>
      <w:r w:rsidR="002E5B1C" w:rsidRPr="002E5B1C">
        <w:rPr>
          <w:lang w:val="uk-UA" w:eastAsia="uk-UA"/>
        </w:rPr>
        <w:t xml:space="preserve"> - </w:t>
      </w:r>
      <w:r w:rsidRPr="002E5B1C">
        <w:rPr>
          <w:lang w:val="uk-UA" w:eastAsia="uk-UA"/>
        </w:rPr>
        <w:t>від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10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20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своїх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; </w:t>
      </w:r>
      <w:r w:rsidRPr="002E5B1C">
        <w:rPr>
          <w:lang w:val="uk-UA" w:eastAsia="uk-UA"/>
        </w:rPr>
        <w:t>23,9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або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11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бюджетів,</w:t>
      </w:r>
      <w:r w:rsidR="002E5B1C" w:rsidRPr="002E5B1C">
        <w:rPr>
          <w:lang w:val="uk-UA" w:eastAsia="uk-UA"/>
        </w:rPr>
        <w:t xml:space="preserve"> - </w:t>
      </w:r>
      <w:r w:rsidRPr="002E5B1C">
        <w:rPr>
          <w:lang w:val="uk-UA" w:eastAsia="uk-UA"/>
        </w:rPr>
        <w:t>від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20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30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; </w:t>
      </w:r>
      <w:r w:rsidRPr="002E5B1C">
        <w:rPr>
          <w:lang w:val="uk-UA" w:eastAsia="uk-UA"/>
        </w:rPr>
        <w:t>7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або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4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бюджети,</w:t>
      </w:r>
      <w:r w:rsidR="002E5B1C" w:rsidRPr="002E5B1C">
        <w:rPr>
          <w:lang w:val="uk-UA" w:eastAsia="uk-UA"/>
        </w:rPr>
        <w:t xml:space="preserve"> - </w:t>
      </w:r>
      <w:r w:rsidRPr="002E5B1C">
        <w:rPr>
          <w:lang w:val="uk-UA" w:eastAsia="uk-UA"/>
        </w:rPr>
        <w:t>від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30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40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само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7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або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4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бюджети</w:t>
      </w:r>
      <w:r w:rsidR="002E5B1C" w:rsidRPr="002E5B1C">
        <w:rPr>
          <w:lang w:val="uk-UA" w:eastAsia="uk-UA"/>
        </w:rPr>
        <w:t xml:space="preserve"> - </w:t>
      </w:r>
      <w:r w:rsidRPr="002E5B1C">
        <w:rPr>
          <w:lang w:val="uk-UA" w:eastAsia="uk-UA"/>
        </w:rPr>
        <w:t>понад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40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своїх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останньої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групи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належать,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зокрема,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Іллічівська,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eastAsia="uk-UA"/>
        </w:rPr>
        <w:t>Южного,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Борисполя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Києва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При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цьому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розрахований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автором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середньозважений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вилучення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бюджетів-донорів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становить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приблизно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32,5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Pr="002E5B1C">
        <w:rPr>
          <w:vertAlign w:val="superscript"/>
          <w:lang w:val="uk-UA" w:eastAsia="uk-UA"/>
        </w:rPr>
        <w:t>4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окремих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випадках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частка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вилучається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незіставною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часткою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формуванні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трансфертної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складової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Наприклад,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надходять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Чопа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дорівнюють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34,5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його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розрахункових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забезпечують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лише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0,08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структурі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трансфертів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дохідної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частини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держбюджету</w:t>
      </w:r>
      <w:r w:rsidR="002E5B1C" w:rsidRPr="002E5B1C">
        <w:rPr>
          <w:lang w:val="uk-UA" w:eastAsia="uk-UA"/>
        </w:rPr>
        <w:t xml:space="preserve">; </w:t>
      </w:r>
      <w:r w:rsidRPr="002E5B1C">
        <w:rPr>
          <w:lang w:val="uk-UA" w:eastAsia="uk-UA"/>
        </w:rPr>
        <w:t>по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Козятину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становлять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32,1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0,16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Іллічівську</w:t>
      </w:r>
      <w:r w:rsidR="002E5B1C" w:rsidRPr="002E5B1C">
        <w:rPr>
          <w:lang w:val="uk-UA" w:eastAsia="uk-UA"/>
        </w:rPr>
        <w:t xml:space="preserve"> - </w:t>
      </w:r>
      <w:r w:rsidRPr="002E5B1C">
        <w:rPr>
          <w:lang w:val="uk-UA" w:eastAsia="uk-UA"/>
        </w:rPr>
        <w:t>40,5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0,51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%</w:t>
      </w:r>
      <w:r w:rsidRPr="002E5B1C">
        <w:rPr>
          <w:vertAlign w:val="superscript"/>
          <w:lang w:val="uk-UA" w:eastAsia="uk-UA"/>
        </w:rPr>
        <w:t>5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Виникає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запитання,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наскільки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обґрунтовано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доцільніше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було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використати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зазначені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місцях</w:t>
      </w:r>
      <w:r w:rsidR="002E5B1C" w:rsidRPr="002E5B1C">
        <w:rPr>
          <w:lang w:val="uk-UA" w:eastAsia="uk-UA"/>
        </w:rPr>
        <w:t>?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eastAsia="uk-UA"/>
        </w:rPr>
      </w:pPr>
      <w:r w:rsidRPr="002E5B1C">
        <w:rPr>
          <w:lang w:val="uk-UA" w:eastAsia="uk-UA"/>
        </w:rPr>
        <w:t>Отже,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проаналізуємо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склад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дотаційних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2008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році</w:t>
      </w:r>
      <w:r w:rsidR="002E5B1C">
        <w:rPr>
          <w:lang w:eastAsia="uk-UA"/>
        </w:rPr>
        <w:t xml:space="preserve"> (</w:t>
      </w:r>
      <w:r w:rsidRPr="002E5B1C">
        <w:rPr>
          <w:lang w:eastAsia="uk-UA"/>
        </w:rPr>
        <w:t>табл</w:t>
      </w:r>
      <w:r w:rsidR="002E5B1C">
        <w:rPr>
          <w:lang w:eastAsia="uk-UA"/>
        </w:rPr>
        <w:t>.4</w:t>
      </w:r>
      <w:r w:rsidR="002E5B1C" w:rsidRPr="002E5B1C">
        <w:rPr>
          <w:lang w:eastAsia="uk-UA"/>
        </w:rPr>
        <w:t>).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eastAsia="uk-UA"/>
        </w:rPr>
      </w:pPr>
      <w:r w:rsidRPr="002E5B1C">
        <w:rPr>
          <w:lang w:val="uk-UA" w:eastAsia="uk-UA"/>
        </w:rPr>
        <w:t>Як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бачимо,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частка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дотації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вирівнювання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формуванні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розрахункового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обсягу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дохідної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частини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середньому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становить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113,3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коливанням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13,4%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бюджети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обласних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центрів</w:t>
      </w:r>
      <w:r w:rsidR="002E5B1C" w:rsidRPr="002E5B1C">
        <w:rPr>
          <w:lang w:val="uk-UA" w:eastAsia="uk-UA"/>
        </w:rPr>
        <w:t xml:space="preserve">) </w:t>
      </w:r>
      <w:r w:rsidRPr="002E5B1C">
        <w:rPr>
          <w:lang w:val="uk-UA" w:eastAsia="uk-UA"/>
        </w:rPr>
        <w:t>до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277,0%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бюджети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районів</w:t>
      </w:r>
      <w:r w:rsidR="002E5B1C" w:rsidRPr="002E5B1C">
        <w:rPr>
          <w:lang w:val="uk-UA" w:eastAsia="uk-UA"/>
        </w:rPr>
        <w:t xml:space="preserve">).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окремо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взятими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бюджетами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відхилення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будуть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більшими</w:t>
      </w:r>
      <w:r w:rsidR="002E5B1C" w:rsidRPr="002E5B1C">
        <w:rPr>
          <w:lang w:eastAsia="uk-UA"/>
        </w:rPr>
        <w:t xml:space="preserve"> - </w:t>
      </w:r>
      <w:r w:rsidRPr="002E5B1C">
        <w:rPr>
          <w:lang w:val="uk-UA" w:eastAsia="uk-UA"/>
        </w:rPr>
        <w:t>від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0,3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1215,9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eastAsia="uk-UA"/>
        </w:rPr>
        <w:t xml:space="preserve">. </w:t>
      </w:r>
      <w:r w:rsidRPr="002E5B1C">
        <w:rPr>
          <w:lang w:val="uk-UA" w:eastAsia="uk-UA"/>
        </w:rPr>
        <w:t>Зокрема,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найвищі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понад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1000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eastAsia="uk-UA"/>
        </w:rPr>
        <w:t xml:space="preserve">) </w:t>
      </w:r>
      <w:r w:rsidRPr="002E5B1C">
        <w:rPr>
          <w:lang w:val="uk-UA" w:eastAsia="uk-UA"/>
        </w:rPr>
        <w:t>значення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даного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характерні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для</w:t>
      </w:r>
      <w:r w:rsid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Шепетівського,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Калуського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Острозького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районів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Отже,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найгірше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фінансове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забезпечення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мають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районів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областей</w:t>
      </w:r>
      <w:r w:rsidR="002E5B1C">
        <w:rPr>
          <w:lang w:eastAsia="uk-UA"/>
        </w:rPr>
        <w:t xml:space="preserve"> (</w:t>
      </w:r>
      <w:r w:rsidRPr="002E5B1C">
        <w:rPr>
          <w:lang w:eastAsia="uk-UA"/>
        </w:rPr>
        <w:t>99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дотаційними</w:t>
      </w:r>
      <w:r w:rsidR="002E5B1C" w:rsidRPr="002E5B1C">
        <w:rPr>
          <w:lang w:val="uk-UA" w:eastAsia="uk-UA"/>
        </w:rPr>
        <w:t xml:space="preserve">)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АР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Крим,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трохи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краще</w:t>
      </w:r>
      <w:r w:rsidR="002E5B1C" w:rsidRPr="002E5B1C">
        <w:rPr>
          <w:lang w:eastAsia="uk-UA"/>
        </w:rPr>
        <w:t xml:space="preserve"> - </w:t>
      </w:r>
      <w:r w:rsidRPr="002E5B1C">
        <w:rPr>
          <w:lang w:val="uk-UA" w:eastAsia="uk-UA"/>
        </w:rPr>
        <w:t>бюджети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областей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хоча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23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24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областей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дотаційними,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частка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дотації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розрахунковому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обсязі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областей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кілька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порядків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нижча,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ніж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доходах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районів,</w:t>
      </w:r>
      <w:r w:rsidR="002E5B1C" w:rsidRPr="002E5B1C">
        <w:rPr>
          <w:lang w:eastAsia="uk-UA"/>
        </w:rPr>
        <w:t xml:space="preserve"> - </w:t>
      </w:r>
      <w:r w:rsidRPr="002E5B1C">
        <w:rPr>
          <w:lang w:eastAsia="uk-UA"/>
        </w:rPr>
        <w:t>68,9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проти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277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eastAsia="uk-UA"/>
        </w:rPr>
        <w:t xml:space="preserve">. </w:t>
      </w:r>
      <w:r w:rsidRPr="002E5B1C">
        <w:rPr>
          <w:lang w:val="uk-UA" w:eastAsia="uk-UA"/>
        </w:rPr>
        <w:t>Найменш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фінансово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залежними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обласних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центрів</w:t>
      </w:r>
      <w:r w:rsidR="002E5B1C" w:rsidRPr="002E5B1C">
        <w:rPr>
          <w:lang w:val="uk-UA" w:eastAsia="uk-UA"/>
        </w:rPr>
        <w:t xml:space="preserve">: </w:t>
      </w:r>
      <w:r w:rsidRPr="002E5B1C">
        <w:rPr>
          <w:lang w:eastAsia="uk-UA"/>
        </w:rPr>
        <w:t>14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із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24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претендують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дотації,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частка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розрахунковому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обсязі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становить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13,4%</w:t>
      </w:r>
      <w:r w:rsidR="002E5B1C" w:rsidRPr="002E5B1C">
        <w:rPr>
          <w:lang w:eastAsia="uk-UA"/>
        </w:rPr>
        <w:t xml:space="preserve">. </w:t>
      </w:r>
      <w:r w:rsidRPr="002E5B1C">
        <w:rPr>
          <w:lang w:val="uk-UA" w:eastAsia="uk-UA"/>
        </w:rPr>
        <w:t>Відповідно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загальна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сума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дотації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вирівнювання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розподіляється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основному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бюджетами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районів</w:t>
      </w:r>
      <w:r w:rsidR="002E5B1C">
        <w:rPr>
          <w:lang w:eastAsia="uk-UA"/>
        </w:rPr>
        <w:t xml:space="preserve"> (</w:t>
      </w:r>
      <w:r w:rsidRPr="002E5B1C">
        <w:rPr>
          <w:lang w:eastAsia="uk-UA"/>
        </w:rPr>
        <w:t>66,3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eastAsia="uk-UA"/>
        </w:rPr>
        <w:t xml:space="preserve">)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бюджетами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областей</w:t>
      </w:r>
      <w:r w:rsidR="002E5B1C">
        <w:rPr>
          <w:lang w:eastAsia="uk-UA"/>
        </w:rPr>
        <w:t xml:space="preserve"> (</w:t>
      </w:r>
      <w:r w:rsidRPr="002E5B1C">
        <w:rPr>
          <w:lang w:eastAsia="uk-UA"/>
        </w:rPr>
        <w:t>19,4%</w:t>
      </w:r>
      <w:r w:rsidR="002E5B1C" w:rsidRPr="002E5B1C">
        <w:rPr>
          <w:lang w:eastAsia="uk-UA"/>
        </w:rPr>
        <w:t>).</w:t>
      </w:r>
    </w:p>
    <w:p w:rsidR="002E5B1C" w:rsidRDefault="002E5B1C" w:rsidP="002E5B1C">
      <w:pPr>
        <w:tabs>
          <w:tab w:val="left" w:pos="726"/>
        </w:tabs>
        <w:rPr>
          <w:lang w:val="uk-UA" w:eastAsia="uk-UA"/>
        </w:rPr>
      </w:pPr>
    </w:p>
    <w:p w:rsidR="009C6978" w:rsidRPr="002E5B1C" w:rsidRDefault="009C6978" w:rsidP="002E5B1C">
      <w:pPr>
        <w:tabs>
          <w:tab w:val="left" w:pos="726"/>
        </w:tabs>
        <w:ind w:left="709" w:firstLine="0"/>
        <w:rPr>
          <w:lang w:val="uk-UA" w:eastAsia="uk-UA"/>
        </w:rPr>
      </w:pPr>
      <w:r w:rsidRPr="002E5B1C">
        <w:rPr>
          <w:lang w:val="uk-UA" w:eastAsia="uk-UA"/>
        </w:rPr>
        <w:t>Таблиця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4</w:t>
      </w:r>
      <w:r w:rsidR="002E5B1C" w:rsidRPr="002E5B1C">
        <w:rPr>
          <w:lang w:val="uk-UA" w:eastAsia="uk-UA"/>
        </w:rPr>
        <w:t xml:space="preserve">. </w:t>
      </w:r>
      <w:r w:rsidRPr="002E5B1C">
        <w:rPr>
          <w:bCs/>
          <w:lang w:val="uk-UA" w:eastAsia="uk-UA"/>
        </w:rPr>
        <w:t>Склад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дотаційних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бюджетів,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що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мають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міжбюджетні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відносини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з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державним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бюджетом,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і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значення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дотації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вирівнювання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i/>
          <w:iCs/>
          <w:lang w:val="uk-UA" w:eastAsia="uk-UA"/>
        </w:rPr>
        <w:t>у</w:t>
      </w:r>
      <w:r w:rsidR="002E5B1C" w:rsidRPr="002E5B1C">
        <w:rPr>
          <w:i/>
          <w:i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формуванні</w:t>
      </w:r>
      <w:r w:rsid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розрахункового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обсягу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їх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дохідної</w:t>
      </w:r>
      <w:r w:rsidR="002E5B1C" w:rsidRPr="002E5B1C">
        <w:rPr>
          <w:bCs/>
          <w:lang w:val="uk-UA" w:eastAsia="uk-UA"/>
        </w:rPr>
        <w:t xml:space="preserve"> </w:t>
      </w:r>
      <w:r w:rsidRPr="002E5B1C">
        <w:rPr>
          <w:bCs/>
          <w:lang w:val="uk-UA" w:eastAsia="uk-UA"/>
        </w:rPr>
        <w:t>частини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955"/>
        <w:gridCol w:w="1361"/>
        <w:gridCol w:w="2573"/>
        <w:gridCol w:w="1360"/>
      </w:tblGrid>
      <w:tr w:rsidR="009C6978" w:rsidRPr="005561B4" w:rsidTr="005561B4">
        <w:trPr>
          <w:trHeight w:val="2019"/>
          <w:jc w:val="center"/>
        </w:trPr>
        <w:tc>
          <w:tcPr>
            <w:tcW w:w="2976" w:type="dxa"/>
            <w:vMerge w:val="restart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Група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місцевих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бюджетів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Кількість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дотаційних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бюджетів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Частка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дотації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вирівнювання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у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розрахунковому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обсязі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доходів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бюджетів,</w:t>
            </w:r>
            <w:r w:rsidR="002E5B1C" w:rsidRPr="002E5B1C">
              <w:rPr>
                <w:lang w:eastAsia="uk-UA"/>
              </w:rPr>
              <w:t xml:space="preserve"> </w:t>
            </w:r>
            <w:r w:rsidRPr="002E5B1C">
              <w:rPr>
                <w:lang w:eastAsia="uk-UA"/>
              </w:rPr>
              <w:t>%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9C6978" w:rsidRPr="005561B4" w:rsidRDefault="009C6978" w:rsidP="005561B4">
            <w:pPr>
              <w:pStyle w:val="af8"/>
              <w:ind w:left="113" w:right="113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Частка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дотації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вирівнювання,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яка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спрямовується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до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відповідної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групи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бюджетів,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у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загальній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сумі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дотації,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%</w:t>
            </w:r>
          </w:p>
        </w:tc>
      </w:tr>
      <w:tr w:rsidR="009C6978" w:rsidRPr="002E5B1C" w:rsidTr="005561B4">
        <w:trPr>
          <w:cantSplit/>
          <w:trHeight w:val="1885"/>
          <w:jc w:val="center"/>
        </w:trPr>
        <w:tc>
          <w:tcPr>
            <w:tcW w:w="2976" w:type="dxa"/>
            <w:vMerge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9C6978" w:rsidRPr="005561B4" w:rsidRDefault="009C6978" w:rsidP="005561B4">
            <w:pPr>
              <w:pStyle w:val="af8"/>
              <w:ind w:left="113" w:right="113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усього</w:t>
            </w:r>
          </w:p>
        </w:tc>
        <w:tc>
          <w:tcPr>
            <w:tcW w:w="1419" w:type="dxa"/>
            <w:shd w:val="clear" w:color="auto" w:fill="auto"/>
            <w:textDirection w:val="btLr"/>
          </w:tcPr>
          <w:p w:rsidR="009C6978" w:rsidRPr="005561B4" w:rsidRDefault="009C6978" w:rsidP="005561B4">
            <w:pPr>
              <w:pStyle w:val="af8"/>
              <w:ind w:left="113" w:right="113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у</w:t>
            </w:r>
            <w:r w:rsidR="002E5B1C" w:rsidRPr="002E5B1C">
              <w:rPr>
                <w:lang w:eastAsia="uk-UA"/>
              </w:rPr>
              <w:t xml:space="preserve"> </w:t>
            </w:r>
            <w:r w:rsidRPr="002E5B1C">
              <w:rPr>
                <w:lang w:eastAsia="uk-UA"/>
              </w:rPr>
              <w:t>%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до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кількості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бюджетів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відповідної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групи</w:t>
            </w:r>
          </w:p>
        </w:tc>
        <w:tc>
          <w:tcPr>
            <w:tcW w:w="2693" w:type="dxa"/>
            <w:vMerge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</w:p>
        </w:tc>
      </w:tr>
      <w:tr w:rsidR="009C6978" w:rsidRPr="002E5B1C" w:rsidTr="005561B4">
        <w:trPr>
          <w:trHeight w:val="245"/>
          <w:jc w:val="center"/>
        </w:trPr>
        <w:tc>
          <w:tcPr>
            <w:tcW w:w="2976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Бюджети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районів</w:t>
            </w:r>
          </w:p>
        </w:tc>
        <w:tc>
          <w:tcPr>
            <w:tcW w:w="99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483</w:t>
            </w:r>
          </w:p>
        </w:tc>
        <w:tc>
          <w:tcPr>
            <w:tcW w:w="1419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99,0</w:t>
            </w:r>
          </w:p>
        </w:tc>
        <w:tc>
          <w:tcPr>
            <w:tcW w:w="269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277,0</w:t>
            </w:r>
          </w:p>
        </w:tc>
        <w:tc>
          <w:tcPr>
            <w:tcW w:w="1418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66,3</w:t>
            </w:r>
          </w:p>
        </w:tc>
      </w:tr>
      <w:tr w:rsidR="009C6978" w:rsidRPr="002E5B1C" w:rsidTr="005561B4">
        <w:trPr>
          <w:trHeight w:val="250"/>
          <w:jc w:val="center"/>
        </w:trPr>
        <w:tc>
          <w:tcPr>
            <w:tcW w:w="2976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Бюджет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АР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Крим</w:t>
            </w:r>
          </w:p>
        </w:tc>
        <w:tc>
          <w:tcPr>
            <w:tcW w:w="99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</w:t>
            </w:r>
          </w:p>
        </w:tc>
        <w:tc>
          <w:tcPr>
            <w:tcW w:w="1419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100,0</w:t>
            </w:r>
          </w:p>
        </w:tc>
        <w:tc>
          <w:tcPr>
            <w:tcW w:w="269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100,7</w:t>
            </w:r>
          </w:p>
        </w:tc>
        <w:tc>
          <w:tcPr>
            <w:tcW w:w="1418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1,8</w:t>
            </w:r>
          </w:p>
        </w:tc>
      </w:tr>
      <w:tr w:rsidR="009C6978" w:rsidRPr="002E5B1C" w:rsidTr="005561B4">
        <w:trPr>
          <w:trHeight w:val="245"/>
          <w:jc w:val="center"/>
        </w:trPr>
        <w:tc>
          <w:tcPr>
            <w:tcW w:w="2976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Бюджети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областей</w:t>
            </w:r>
          </w:p>
        </w:tc>
        <w:tc>
          <w:tcPr>
            <w:tcW w:w="99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23</w:t>
            </w:r>
          </w:p>
        </w:tc>
        <w:tc>
          <w:tcPr>
            <w:tcW w:w="1419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95,8</w:t>
            </w:r>
          </w:p>
        </w:tc>
        <w:tc>
          <w:tcPr>
            <w:tcW w:w="269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68,9</w:t>
            </w:r>
          </w:p>
        </w:tc>
        <w:tc>
          <w:tcPr>
            <w:tcW w:w="1418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19,4</w:t>
            </w:r>
          </w:p>
        </w:tc>
      </w:tr>
      <w:tr w:rsidR="009C6978" w:rsidRPr="002E5B1C" w:rsidTr="005561B4">
        <w:trPr>
          <w:trHeight w:val="245"/>
          <w:jc w:val="center"/>
        </w:trPr>
        <w:tc>
          <w:tcPr>
            <w:tcW w:w="2976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Бюджети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інших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міст</w:t>
            </w:r>
          </w:p>
        </w:tc>
        <w:tc>
          <w:tcPr>
            <w:tcW w:w="99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123</w:t>
            </w:r>
          </w:p>
        </w:tc>
        <w:tc>
          <w:tcPr>
            <w:tcW w:w="1419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80,9</w:t>
            </w:r>
          </w:p>
        </w:tc>
        <w:tc>
          <w:tcPr>
            <w:tcW w:w="269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55,6</w:t>
            </w:r>
          </w:p>
        </w:tc>
        <w:tc>
          <w:tcPr>
            <w:tcW w:w="1418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10,2</w:t>
            </w:r>
          </w:p>
        </w:tc>
      </w:tr>
      <w:tr w:rsidR="009C6978" w:rsidRPr="002E5B1C" w:rsidTr="005561B4">
        <w:trPr>
          <w:trHeight w:val="240"/>
          <w:jc w:val="center"/>
        </w:trPr>
        <w:tc>
          <w:tcPr>
            <w:tcW w:w="2976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Бюджет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Севастополя</w:t>
            </w:r>
          </w:p>
        </w:tc>
        <w:tc>
          <w:tcPr>
            <w:tcW w:w="99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</w:t>
            </w:r>
          </w:p>
        </w:tc>
        <w:tc>
          <w:tcPr>
            <w:tcW w:w="1419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100,0</w:t>
            </w:r>
          </w:p>
        </w:tc>
        <w:tc>
          <w:tcPr>
            <w:tcW w:w="269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25,2</w:t>
            </w:r>
          </w:p>
        </w:tc>
        <w:tc>
          <w:tcPr>
            <w:tcW w:w="1418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0,3</w:t>
            </w:r>
          </w:p>
        </w:tc>
      </w:tr>
      <w:tr w:rsidR="009C6978" w:rsidRPr="002E5B1C" w:rsidTr="005561B4">
        <w:trPr>
          <w:trHeight w:val="250"/>
          <w:jc w:val="center"/>
        </w:trPr>
        <w:tc>
          <w:tcPr>
            <w:tcW w:w="2976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Бюджети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обласних</w:t>
            </w:r>
            <w:r w:rsidR="002E5B1C" w:rsidRPr="005561B4">
              <w:rPr>
                <w:lang w:val="uk-UA" w:eastAsia="uk-UA"/>
              </w:rPr>
              <w:t xml:space="preserve"> </w:t>
            </w:r>
            <w:r w:rsidRPr="005561B4">
              <w:rPr>
                <w:lang w:val="uk-UA" w:eastAsia="uk-UA"/>
              </w:rPr>
              <w:t>центрів</w:t>
            </w:r>
          </w:p>
        </w:tc>
        <w:tc>
          <w:tcPr>
            <w:tcW w:w="99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14</w:t>
            </w:r>
          </w:p>
        </w:tc>
        <w:tc>
          <w:tcPr>
            <w:tcW w:w="1419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58,3</w:t>
            </w:r>
          </w:p>
        </w:tc>
        <w:tc>
          <w:tcPr>
            <w:tcW w:w="269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13,4</w:t>
            </w:r>
          </w:p>
        </w:tc>
        <w:tc>
          <w:tcPr>
            <w:tcW w:w="1418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2,0</w:t>
            </w:r>
          </w:p>
        </w:tc>
      </w:tr>
      <w:tr w:rsidR="009C6978" w:rsidRPr="002E5B1C" w:rsidTr="005561B4">
        <w:trPr>
          <w:trHeight w:val="269"/>
          <w:jc w:val="center"/>
        </w:trPr>
        <w:tc>
          <w:tcPr>
            <w:tcW w:w="2976" w:type="dxa"/>
            <w:shd w:val="clear" w:color="auto" w:fill="auto"/>
          </w:tcPr>
          <w:p w:rsidR="009C6978" w:rsidRPr="005561B4" w:rsidRDefault="009C6978" w:rsidP="002E5B1C">
            <w:pPr>
              <w:pStyle w:val="af8"/>
              <w:rPr>
                <w:lang w:val="uk-UA" w:eastAsia="uk-UA"/>
              </w:rPr>
            </w:pPr>
            <w:r w:rsidRPr="005561B4">
              <w:rPr>
                <w:lang w:val="uk-UA" w:eastAsia="uk-UA"/>
              </w:rPr>
              <w:t>Разом</w:t>
            </w:r>
          </w:p>
        </w:tc>
        <w:tc>
          <w:tcPr>
            <w:tcW w:w="992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645</w:t>
            </w:r>
          </w:p>
        </w:tc>
        <w:tc>
          <w:tcPr>
            <w:tcW w:w="1419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93,3</w:t>
            </w:r>
          </w:p>
        </w:tc>
        <w:tc>
          <w:tcPr>
            <w:tcW w:w="2693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113,3</w:t>
            </w:r>
          </w:p>
        </w:tc>
        <w:tc>
          <w:tcPr>
            <w:tcW w:w="1418" w:type="dxa"/>
            <w:shd w:val="clear" w:color="auto" w:fill="auto"/>
          </w:tcPr>
          <w:p w:rsidR="009C6978" w:rsidRPr="002E5B1C" w:rsidRDefault="009C6978" w:rsidP="002E5B1C">
            <w:pPr>
              <w:pStyle w:val="af8"/>
            </w:pPr>
            <w:r w:rsidRPr="002E5B1C">
              <w:t>100,0</w:t>
            </w:r>
          </w:p>
        </w:tc>
      </w:tr>
    </w:tbl>
    <w:p w:rsidR="009C6978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Отже,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сьогодні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Україні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складається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ситуація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штучної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дотаційності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викликана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чинним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порядком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зарахування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різних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рівнів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При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цьому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вилучені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першому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етапі,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потім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частково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повертаються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назад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вигляді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трансфертів,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зокрема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дотацій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вирівнювання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політики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підривається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автономія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надмірно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залежними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центральної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влади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При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цьому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завжди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існує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ймовірність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того,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частина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запланованих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трансфертів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буде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профінансована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проаналізували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ситуацію,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мала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200</w:t>
      </w:r>
      <w:r w:rsidRPr="002E5B1C">
        <w:rPr>
          <w:lang w:val="uk-UA" w:eastAsia="uk-UA"/>
        </w:rPr>
        <w:t>1</w:t>
      </w:r>
      <w:r w:rsidR="002E5B1C" w:rsidRPr="002E5B1C">
        <w:rPr>
          <w:lang w:eastAsia="uk-UA"/>
        </w:rPr>
        <w:t>-</w:t>
      </w:r>
      <w:r w:rsidRPr="002E5B1C">
        <w:rPr>
          <w:lang w:eastAsia="uk-UA"/>
        </w:rPr>
        <w:t>20</w:t>
      </w:r>
      <w:r w:rsidRPr="002E5B1C">
        <w:rPr>
          <w:lang w:val="uk-UA" w:eastAsia="uk-UA"/>
        </w:rPr>
        <w:t>10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роках,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побачили,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протягом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зазначеного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періоду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планові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надходжень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виконувалися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повному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обсязі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Причинами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цього,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зокрема,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були</w:t>
      </w:r>
      <w:r w:rsidR="002E5B1C" w:rsidRPr="002E5B1C">
        <w:rPr>
          <w:lang w:val="uk-UA" w:eastAsia="uk-UA"/>
        </w:rPr>
        <w:t>: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2E5B1C">
        <w:rPr>
          <w:lang w:val="uk-UA"/>
        </w:rPr>
        <w:t>несвоєчасне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затвердження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урядом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нормативно-правових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актів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щодо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надання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окремих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субвенцій</w:t>
      </w:r>
      <w:r w:rsidR="002E5B1C" w:rsidRPr="002E5B1C">
        <w:rPr>
          <w:lang w:val="uk-UA"/>
        </w:rPr>
        <w:t>;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2E5B1C">
        <w:rPr>
          <w:lang w:val="uk-UA"/>
        </w:rPr>
        <w:t>зволікання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окремих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органів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виконавчої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влади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органів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самоврядування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прийняттям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рішень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щодо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їх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використання</w:t>
      </w:r>
      <w:r w:rsidR="002E5B1C" w:rsidRPr="002E5B1C">
        <w:rPr>
          <w:lang w:val="uk-UA"/>
        </w:rPr>
        <w:t>;</w:t>
      </w:r>
    </w:p>
    <w:p w:rsidR="002E5B1C" w:rsidRPr="002E5B1C" w:rsidRDefault="009C6978" w:rsidP="002E5B1C">
      <w:pPr>
        <w:tabs>
          <w:tab w:val="left" w:pos="726"/>
        </w:tabs>
        <w:rPr>
          <w:lang w:val="uk-UA"/>
        </w:rPr>
      </w:pPr>
      <w:r w:rsidRPr="002E5B1C">
        <w:rPr>
          <w:lang w:val="uk-UA"/>
        </w:rPr>
        <w:t>планування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Міністерством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фінансів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України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значних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обсягів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трансфертів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державного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кінець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року</w:t>
      </w:r>
      <w:r w:rsidR="002E5B1C" w:rsidRPr="002E5B1C">
        <w:rPr>
          <w:lang w:val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Через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окреслені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причини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мало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неповне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використання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завершення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повернення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залишків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Наведемо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приклад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Статтею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55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Закону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України</w:t>
      </w:r>
      <w:r w:rsidR="002E5B1C">
        <w:rPr>
          <w:lang w:val="uk-UA" w:eastAsia="uk-UA"/>
        </w:rPr>
        <w:t xml:space="preserve"> "</w:t>
      </w:r>
      <w:r w:rsidRPr="002E5B1C">
        <w:rPr>
          <w:lang w:val="uk-UA" w:eastAsia="uk-UA"/>
        </w:rPr>
        <w:t>Про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200</w:t>
      </w:r>
      <w:r w:rsidRPr="002E5B1C">
        <w:rPr>
          <w:lang w:val="uk-UA" w:eastAsia="uk-UA"/>
        </w:rPr>
        <w:t>9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рік</w:t>
      </w:r>
      <w:r w:rsidR="002E5B1C">
        <w:rPr>
          <w:lang w:val="uk-UA" w:eastAsia="uk-UA"/>
        </w:rPr>
        <w:t xml:space="preserve">" </w:t>
      </w:r>
      <w:r w:rsidRPr="002E5B1C">
        <w:rPr>
          <w:lang w:val="uk-UA" w:eastAsia="uk-UA"/>
        </w:rPr>
        <w:t>передбачаюся,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видатки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Києва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виконання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функцій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столиці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здійснюватимуться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відповідною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програмою,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затвердженою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Кабінетом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Міністрів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України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Але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Програму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було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прийнято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лише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травні,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тільки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тоді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сформувалися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підстави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для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перерахування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коштів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хоча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були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виділені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повністю,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основна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частина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понад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50%</w:t>
      </w:r>
      <w:r w:rsidR="002E5B1C" w:rsidRPr="002E5B1C">
        <w:rPr>
          <w:lang w:eastAsia="uk-UA"/>
        </w:rPr>
        <w:t xml:space="preserve">) </w:t>
      </w:r>
      <w:r w:rsidRPr="002E5B1C">
        <w:rPr>
          <w:lang w:val="uk-UA" w:eastAsia="uk-UA"/>
        </w:rPr>
        <w:t>надійшла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тільки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листопаді</w:t>
      </w:r>
      <w:r w:rsidR="002E5B1C" w:rsidRPr="002E5B1C">
        <w:rPr>
          <w:lang w:eastAsia="uk-UA"/>
        </w:rPr>
        <w:t xml:space="preserve"> - </w:t>
      </w:r>
      <w:r w:rsidRPr="002E5B1C">
        <w:rPr>
          <w:lang w:val="uk-UA" w:eastAsia="uk-UA"/>
        </w:rPr>
        <w:t>грудні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20</w:t>
      </w:r>
      <w:r w:rsidRPr="002E5B1C">
        <w:rPr>
          <w:lang w:val="uk-UA" w:eastAsia="uk-UA"/>
        </w:rPr>
        <w:t>09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року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Як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наслідок,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розпорядник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встиг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забезпечити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освоєння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завершення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року,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отже,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63,1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млн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грн</w:t>
      </w:r>
      <w:r w:rsidR="002E5B1C">
        <w:rPr>
          <w:lang w:val="uk-UA" w:eastAsia="uk-UA"/>
        </w:rPr>
        <w:t>.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були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повернуті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окремих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випадках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мало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недофінансування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Надання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трансфертів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менших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запланованих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обсягах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обумовлено,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по-перше,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прорахунками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плануванні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необхідних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виділенням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окремих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субвенцій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межах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взятих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бюджетами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зобов'язань,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по-друге,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нестачею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фінансових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ресурсів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Так,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2007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рахунок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спеціального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фонду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планувалося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надати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десять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субвенцій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бюджетам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сумі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1,998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млрд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грн</w:t>
      </w:r>
      <w:r w:rsidR="002E5B1C">
        <w:rPr>
          <w:lang w:val="uk-UA" w:eastAsia="uk-UA"/>
        </w:rPr>
        <w:t>.</w:t>
      </w:r>
      <w:r w:rsidR="002E5B1C" w:rsidRPr="002E5B1C">
        <w:rPr>
          <w:lang w:val="uk-UA" w:eastAsia="uk-UA"/>
        </w:rPr>
        <w:t xml:space="preserve">, </w:t>
      </w: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фактично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отримали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п'ять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субвенцій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сумі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1,445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млрд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грн</w:t>
      </w:r>
      <w:r w:rsidR="002E5B1C">
        <w:rPr>
          <w:lang w:val="uk-UA" w:eastAsia="uk-UA"/>
        </w:rPr>
        <w:t>.</w:t>
      </w:r>
      <w:r w:rsidR="002E5B1C" w:rsidRPr="002E5B1C">
        <w:rPr>
          <w:lang w:val="uk-UA" w:eastAsia="uk-UA"/>
        </w:rPr>
        <w:t xml:space="preserve">, </w:t>
      </w:r>
      <w:r w:rsidRPr="002E5B1C">
        <w:rPr>
          <w:lang w:val="uk-UA" w:eastAsia="uk-UA"/>
        </w:rPr>
        <w:t>або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72,3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%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запланованої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величини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самому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недоотримання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субвенцій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оснащення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сільських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амбулаторій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фельдшерсько-акушерських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пунктів,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придбання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автомобілів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швидкої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медичної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допомоги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для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сільських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закладів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охорони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здоров'я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становило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100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млн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грн</w:t>
      </w:r>
      <w:r w:rsidR="002E5B1C">
        <w:rPr>
          <w:lang w:val="uk-UA" w:eastAsia="uk-UA"/>
        </w:rPr>
        <w:t>.</w:t>
      </w:r>
      <w:r w:rsidR="002E5B1C" w:rsidRPr="002E5B1C">
        <w:rPr>
          <w:lang w:val="uk-UA" w:eastAsia="uk-UA"/>
        </w:rPr>
        <w:t xml:space="preserve">;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будівництво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розвиток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мережі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метрополітенів</w:t>
      </w:r>
      <w:r w:rsidR="002E5B1C" w:rsidRPr="002E5B1C">
        <w:rPr>
          <w:lang w:val="uk-UA" w:eastAsia="uk-UA"/>
        </w:rPr>
        <w:t xml:space="preserve"> - </w:t>
      </w:r>
      <w:r w:rsidRPr="002E5B1C">
        <w:rPr>
          <w:lang w:val="uk-UA" w:eastAsia="uk-UA"/>
        </w:rPr>
        <w:t>100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млн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грн</w:t>
      </w:r>
      <w:r w:rsidR="002E5B1C">
        <w:rPr>
          <w:lang w:val="uk-UA" w:eastAsia="uk-UA"/>
        </w:rPr>
        <w:t>.</w:t>
      </w:r>
      <w:r w:rsidR="002E5B1C" w:rsidRPr="002E5B1C">
        <w:rPr>
          <w:lang w:val="uk-UA" w:eastAsia="uk-UA"/>
        </w:rPr>
        <w:t xml:space="preserve">;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придбання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шкільних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автобусів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для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перевезення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дітей,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проживають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сільській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місцевості,</w:t>
      </w:r>
      <w:r w:rsidR="002E5B1C" w:rsidRPr="002E5B1C">
        <w:rPr>
          <w:lang w:val="uk-UA" w:eastAsia="uk-UA"/>
        </w:rPr>
        <w:t xml:space="preserve"> - </w:t>
      </w:r>
      <w:r w:rsidRPr="002E5B1C">
        <w:rPr>
          <w:lang w:val="uk-UA" w:eastAsia="uk-UA"/>
        </w:rPr>
        <w:t>70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млн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грн</w:t>
      </w:r>
      <w:r w:rsidR="002E5B1C">
        <w:rPr>
          <w:lang w:val="uk-UA" w:eastAsia="uk-UA"/>
        </w:rPr>
        <w:t>.</w:t>
      </w:r>
      <w:r w:rsidR="002E5B1C" w:rsidRPr="002E5B1C">
        <w:rPr>
          <w:lang w:val="uk-UA" w:eastAsia="uk-UA"/>
        </w:rPr>
        <w:t xml:space="preserve">;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придбання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вагонів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для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комунального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електротранспорту</w:t>
      </w:r>
      <w:r w:rsidR="002E5B1C" w:rsidRPr="002E5B1C">
        <w:rPr>
          <w:lang w:val="uk-UA" w:eastAsia="uk-UA"/>
        </w:rPr>
        <w:t xml:space="preserve"> - </w:t>
      </w:r>
      <w:r w:rsidRPr="002E5B1C">
        <w:rPr>
          <w:lang w:val="uk-UA" w:eastAsia="uk-UA"/>
        </w:rPr>
        <w:t>100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млн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грн</w:t>
      </w:r>
      <w:r w:rsid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З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2001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розрахунок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дотацій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вирівнювання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передаються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здійснюється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спеціально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розробленою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урядом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формулою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Незважаючи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те,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запровадження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зробило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механізм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розподілу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трансфертів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простішим,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головне</w:t>
      </w:r>
      <w:r w:rsidR="002E5B1C" w:rsidRPr="002E5B1C">
        <w:rPr>
          <w:lang w:val="uk-UA" w:eastAsia="uk-UA"/>
        </w:rPr>
        <w:t xml:space="preserve"> - </w:t>
      </w:r>
      <w:r w:rsidRPr="002E5B1C">
        <w:rPr>
          <w:lang w:val="uk-UA" w:eastAsia="uk-UA"/>
        </w:rPr>
        <w:t>прозорішим,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дозволило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певною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мірою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відійти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ручного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управління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бюджетними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коштами,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чинний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порядок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розрахунку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трансфертів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позбавлений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недоліків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Так,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даній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формулі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визначенні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розрахункового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обсягу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застосовують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індекс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відносної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податкоспроможності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адміністративно-територіальної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одиниці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Даний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характеризує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рівень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збирання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розрахунку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1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мешканця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громади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порівняно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середнім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рівнем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країні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вищий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рівень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збирання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забезпечують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території,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більшим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виходить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розрахункового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обсягу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натомість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меншою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сума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дотації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вирівнювання,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належна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отримання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відповідним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бюджетом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Отже,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замість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щоб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заохочувати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органи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влади,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фактично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карають,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зменшуючи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належної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допомоги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Крім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того,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індекс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податкоспроможності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відносним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показником,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окремих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випадках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взагалі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може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давати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викривлені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результати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Так,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скороченні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рівня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збирання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1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мешканця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громади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адміністративно-територіальної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одиниці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зменшення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зібраних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середньому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країні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відбувається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швидшими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темпами,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індекс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відносної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податкоспроможності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даної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територіальної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одиниці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зростає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Відповідно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умовах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послаблення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дохідної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бази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сума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дотації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нелогічно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зменшується,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погіршуючи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фінансовий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стан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даної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територіальної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одиниці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Організація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вилучення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більш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обґрунтованою</w:t>
      </w:r>
      <w:r w:rsidR="002E5B1C" w:rsidRPr="002E5B1C">
        <w:rPr>
          <w:lang w:val="uk-UA" w:eastAsia="uk-UA"/>
        </w:rPr>
        <w:t xml:space="preserve">: </w:t>
      </w:r>
      <w:r w:rsidRPr="002E5B1C">
        <w:rPr>
          <w:lang w:val="uk-UA" w:eastAsia="uk-UA"/>
        </w:rPr>
        <w:t>при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обчисленні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сум,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підлягають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вилученню,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передбачено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застосування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знижуючого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коефіцієнта,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значення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якого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коливаються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0,6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0,9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Так,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вищим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індекс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виконання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розрахункових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більша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частка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залишиться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розпорядженні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даного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Такий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порядок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стимулює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покращення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своєї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діяльності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Правда,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визначенні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рівня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виконання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нашу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думку,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варто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було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порівнювати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розрахункові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фактичні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фактичні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суміжних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років,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виключало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можливий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прецедент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штучного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заниження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розрахункових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забезпечувало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більш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виважені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результати</w:t>
      </w:r>
      <w:r w:rsidR="002E5B1C" w:rsidRPr="002E5B1C">
        <w:rPr>
          <w:lang w:val="uk-UA" w:eastAsia="uk-UA"/>
        </w:rPr>
        <w:t>.</w:t>
      </w:r>
      <w:r w:rsid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Недосконалим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даній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формулі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механізм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обчислення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загальної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величини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обсягу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видатків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: </w:t>
      </w:r>
      <w:r w:rsidRPr="002E5B1C">
        <w:rPr>
          <w:lang w:val="uk-UA" w:eastAsia="uk-UA"/>
        </w:rPr>
        <w:t>порядок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визначення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базових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для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розрахунку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показників</w:t>
      </w:r>
      <w:r w:rsidR="002E5B1C" w:rsidRPr="002E5B1C">
        <w:rPr>
          <w:lang w:val="uk-UA" w:eastAsia="uk-UA"/>
        </w:rPr>
        <w:t xml:space="preserve"> - </w:t>
      </w:r>
      <w:r w:rsidRPr="002E5B1C">
        <w:rPr>
          <w:lang w:val="uk-UA" w:eastAsia="uk-UA"/>
        </w:rPr>
        <w:t>нормативів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забезпеченості</w:t>
      </w:r>
      <w:r w:rsidR="002E5B1C" w:rsidRPr="002E5B1C">
        <w:rPr>
          <w:lang w:val="uk-UA" w:eastAsia="uk-UA"/>
        </w:rPr>
        <w:t xml:space="preserve"> - </w:t>
      </w:r>
      <w:r w:rsidRPr="002E5B1C">
        <w:rPr>
          <w:lang w:val="uk-UA" w:eastAsia="uk-UA"/>
        </w:rPr>
        <w:t>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завуальованим</w:t>
      </w:r>
      <w:r w:rsidR="002E5B1C" w:rsidRPr="002E5B1C">
        <w:rPr>
          <w:lang w:val="uk-UA" w:eastAsia="uk-UA"/>
        </w:rPr>
        <w:t xml:space="preserve">; </w:t>
      </w:r>
      <w:r w:rsidRPr="002E5B1C">
        <w:rPr>
          <w:lang w:val="uk-UA" w:eastAsia="uk-UA"/>
        </w:rPr>
        <w:t>має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неузгодження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соціальних</w:t>
      </w:r>
      <w:r w:rsidR="002E5B1C">
        <w:rPr>
          <w:lang w:val="uk-UA" w:eastAsia="uk-UA"/>
        </w:rPr>
        <w:t xml:space="preserve"> (</w:t>
      </w:r>
      <w:r w:rsidRPr="002E5B1C">
        <w:rPr>
          <w:lang w:val="uk-UA" w:eastAsia="uk-UA"/>
        </w:rPr>
        <w:t>визначених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Законом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України</w:t>
      </w:r>
      <w:r w:rsidR="002E5B1C">
        <w:rPr>
          <w:lang w:val="uk-UA" w:eastAsia="uk-UA"/>
        </w:rPr>
        <w:t xml:space="preserve"> "</w:t>
      </w:r>
      <w:r w:rsidRPr="002E5B1C">
        <w:rPr>
          <w:lang w:val="uk-UA" w:eastAsia="uk-UA"/>
        </w:rPr>
        <w:t>Про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соціальні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стандарти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соціальні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гарантії</w:t>
      </w:r>
      <w:r w:rsidR="002E5B1C">
        <w:rPr>
          <w:lang w:val="uk-UA" w:eastAsia="uk-UA"/>
        </w:rPr>
        <w:t>"</w:t>
      </w:r>
      <w:r w:rsidR="002E5B1C" w:rsidRPr="002E5B1C">
        <w:rPr>
          <w:lang w:val="uk-UA" w:eastAsia="uk-UA"/>
        </w:rPr>
        <w:t xml:space="preserve">)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нормативів</w:t>
      </w:r>
      <w:r w:rsidR="002E5B1C" w:rsidRPr="002E5B1C">
        <w:rPr>
          <w:lang w:val="uk-UA" w:eastAsia="uk-UA"/>
        </w:rPr>
        <w:t xml:space="preserve">; </w:t>
      </w:r>
      <w:r w:rsidRPr="002E5B1C">
        <w:rPr>
          <w:lang w:val="uk-UA" w:eastAsia="uk-UA"/>
        </w:rPr>
        <w:t>застосовувані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нормативи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завжди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враховують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досягнутий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рівень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фінансування,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розвинутість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мережі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закладів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вартість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надання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послуг</w:t>
      </w:r>
      <w:r w:rsidR="002E5B1C" w:rsidRPr="002E5B1C">
        <w:rPr>
          <w:lang w:val="uk-UA" w:eastAsia="uk-UA"/>
        </w:rPr>
        <w:t>.</w:t>
      </w:r>
    </w:p>
    <w:p w:rsidR="002E5B1C" w:rsidRDefault="009C6978" w:rsidP="002E5B1C">
      <w:pPr>
        <w:pStyle w:val="1"/>
        <w:rPr>
          <w:lang w:val="uk-UA"/>
        </w:rPr>
      </w:pPr>
      <w:r w:rsidRPr="002E5B1C">
        <w:rPr>
          <w:color w:val="000000"/>
          <w:lang w:val="uk-UA"/>
        </w:rPr>
        <w:br w:type="page"/>
      </w:r>
      <w:bookmarkStart w:id="2" w:name="_Toc287169055"/>
      <w:r w:rsidR="002E5B1C" w:rsidRPr="002E5B1C">
        <w:rPr>
          <w:lang w:val="uk-UA"/>
        </w:rPr>
        <w:t>Висновки та рекомендації</w:t>
      </w:r>
      <w:bookmarkEnd w:id="2"/>
    </w:p>
    <w:p w:rsidR="002E5B1C" w:rsidRPr="002E5B1C" w:rsidRDefault="002E5B1C" w:rsidP="002E5B1C">
      <w:pPr>
        <w:rPr>
          <w:lang w:val="uk-UA" w:eastAsia="en-US"/>
        </w:rPr>
      </w:pP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результатами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проведеного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дослідження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дійшли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таких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висновків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2E5B1C">
        <w:rPr>
          <w:lang w:val="uk-UA"/>
        </w:rPr>
        <w:t>1</w:t>
      </w:r>
      <w:r w:rsidR="002E5B1C" w:rsidRPr="002E5B1C">
        <w:rPr>
          <w:lang w:val="uk-UA"/>
        </w:rPr>
        <w:t xml:space="preserve">. </w:t>
      </w:r>
      <w:r w:rsidRPr="002E5B1C">
        <w:rPr>
          <w:lang w:val="uk-UA"/>
        </w:rPr>
        <w:t>Сьогодні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становлення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самоврядування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Україні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перебуває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під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загрозою</w:t>
      </w:r>
      <w:r w:rsidR="002E5B1C" w:rsidRPr="002E5B1C">
        <w:rPr>
          <w:lang w:val="uk-UA"/>
        </w:rPr>
        <w:t xml:space="preserve">: </w:t>
      </w:r>
      <w:r w:rsidRPr="002E5B1C">
        <w:rPr>
          <w:lang w:val="uk-UA"/>
        </w:rPr>
        <w:t>брак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власних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фінансових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ресурсів,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викликаний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обмеженим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складом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доходів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бюджетів</w:t>
      </w:r>
      <w:r w:rsidR="002E5B1C" w:rsidRPr="002E5B1C">
        <w:rPr>
          <w:lang w:val="uk-UA"/>
        </w:rPr>
        <w:t xml:space="preserve">; </w:t>
      </w:r>
      <w:r w:rsidRPr="002E5B1C">
        <w:rPr>
          <w:lang w:val="uk-UA"/>
        </w:rPr>
        <w:t>недостатньо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обґрунтоване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розмежування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доходів</w:t>
      </w:r>
      <w:r w:rsidR="002E5B1C">
        <w:rPr>
          <w:lang w:val="uk-UA"/>
        </w:rPr>
        <w:t xml:space="preserve"> (</w:t>
      </w:r>
      <w:r w:rsidRPr="002E5B1C">
        <w:rPr>
          <w:lang w:val="uk-UA"/>
        </w:rPr>
        <w:t>тих,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що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враховуються,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тих,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що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враховуються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при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визначенні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міжбюджетних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трансфертів</w:t>
      </w:r>
      <w:r w:rsidR="002E5B1C" w:rsidRPr="002E5B1C">
        <w:rPr>
          <w:lang w:val="uk-UA"/>
        </w:rPr>
        <w:t xml:space="preserve">); </w:t>
      </w:r>
      <w:r w:rsidRPr="002E5B1C">
        <w:rPr>
          <w:lang w:val="uk-UA"/>
        </w:rPr>
        <w:t>щорічне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істотне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недофінансування</w:t>
      </w:r>
      <w:r w:rsidR="002E5B1C" w:rsidRPr="002E5B1C">
        <w:rPr>
          <w:lang w:val="uk-UA"/>
        </w:rPr>
        <w:t xml:space="preserve"> - </w:t>
      </w:r>
      <w:r w:rsidRPr="002E5B1C">
        <w:rPr>
          <w:lang w:val="uk-UA"/>
        </w:rPr>
        <w:t>все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це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суттєво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обмежує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самостійність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бюджетів,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веде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залежності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від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центральної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влади,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створює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штучну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масову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дотаційність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бюджетів,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гальмує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темпи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економічного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соціального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розвитку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регіонів</w:t>
      </w:r>
      <w:r w:rsidR="002E5B1C" w:rsidRPr="002E5B1C">
        <w:rPr>
          <w:lang w:val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2E5B1C">
        <w:rPr>
          <w:lang w:val="uk-UA"/>
        </w:rPr>
        <w:t>2</w:t>
      </w:r>
      <w:r w:rsidR="002E5B1C" w:rsidRPr="002E5B1C">
        <w:rPr>
          <w:lang w:val="uk-UA"/>
        </w:rPr>
        <w:t xml:space="preserve">. </w:t>
      </w:r>
      <w:r w:rsidRPr="002E5B1C">
        <w:rPr>
          <w:lang w:val="uk-UA"/>
        </w:rPr>
        <w:t>Застосовувана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Україні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система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формування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доходів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фінансування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видатків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є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досить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недосконалою</w:t>
      </w:r>
      <w:r w:rsidR="002E5B1C" w:rsidRPr="002E5B1C">
        <w:rPr>
          <w:lang w:val="uk-UA"/>
        </w:rPr>
        <w:t xml:space="preserve">: </w:t>
      </w:r>
      <w:r w:rsidRPr="002E5B1C">
        <w:rPr>
          <w:lang w:val="uk-UA"/>
        </w:rPr>
        <w:t>обсяги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функцій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повноважень,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які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покладаються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органи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влади,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відповідають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фінансовим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можливостям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їх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реалізації</w:t>
      </w:r>
      <w:r w:rsidR="002E5B1C" w:rsidRPr="002E5B1C">
        <w:rPr>
          <w:lang w:val="uk-UA"/>
        </w:rPr>
        <w:t xml:space="preserve">; </w:t>
      </w:r>
      <w:r w:rsidRPr="002E5B1C">
        <w:rPr>
          <w:lang w:val="uk-UA"/>
        </w:rPr>
        <w:t>широкий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перелік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задекларованих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державою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соціальних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зобов'язань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узгоджуються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наявними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фінансовими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ресурсами</w:t>
      </w:r>
      <w:r w:rsidR="002E5B1C" w:rsidRPr="002E5B1C">
        <w:rPr>
          <w:lang w:val="uk-UA"/>
        </w:rPr>
        <w:t xml:space="preserve">; </w:t>
      </w:r>
      <w:r w:rsidRPr="002E5B1C">
        <w:rPr>
          <w:lang w:val="uk-UA"/>
        </w:rPr>
        <w:t>має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нечітке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розмежування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повноважень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між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органами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державної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місцевої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влади</w:t>
      </w:r>
      <w:r w:rsidR="002E5B1C" w:rsidRPr="002E5B1C">
        <w:rPr>
          <w:lang w:val="uk-UA"/>
        </w:rPr>
        <w:t>.</w:t>
      </w:r>
    </w:p>
    <w:p w:rsidR="002E5B1C" w:rsidRPr="002E5B1C" w:rsidRDefault="009C6978" w:rsidP="002E5B1C">
      <w:pPr>
        <w:tabs>
          <w:tab w:val="left" w:pos="726"/>
        </w:tabs>
        <w:rPr>
          <w:lang w:val="uk-UA" w:eastAsia="uk-UA"/>
        </w:rPr>
      </w:pPr>
      <w:r w:rsidRPr="002E5B1C">
        <w:t>3</w:t>
      </w:r>
      <w:r w:rsidR="002E5B1C" w:rsidRPr="002E5B1C">
        <w:t xml:space="preserve">. </w:t>
      </w:r>
      <w:r w:rsidRPr="002E5B1C">
        <w:rPr>
          <w:lang w:val="uk-UA"/>
        </w:rPr>
        <w:t>Процедура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віднесення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одних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адміністративно-територіальних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одиниць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складу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реципієнтів,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інших</w:t>
      </w:r>
      <w:r w:rsidR="002E5B1C" w:rsidRPr="002E5B1C">
        <w:t xml:space="preserve"> - </w:t>
      </w:r>
      <w:r w:rsidRPr="002E5B1C">
        <w:rPr>
          <w:lang w:val="uk-UA"/>
        </w:rPr>
        <w:t>до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донорів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є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доволі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умовною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завжди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об'єктивно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свідчить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про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кращий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розвиток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одних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територій,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вищий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рівень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сплати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ними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податків,</w:t>
      </w:r>
      <w:r w:rsidR="002E5B1C" w:rsidRPr="002E5B1C">
        <w:rPr>
          <w:lang w:val="uk-UA"/>
        </w:rPr>
        <w:t xml:space="preserve"> </w:t>
      </w:r>
      <w:r w:rsidRPr="002E5B1C">
        <w:rPr>
          <w:lang w:val="uk-UA" w:eastAsia="uk-UA"/>
        </w:rPr>
        <w:t>продуктивнішу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роботу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органів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влади,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порівняно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гірші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показники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інших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територій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Це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пов'язано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тим,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по-перше,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Україні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застосовується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необґрунтована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система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надмірного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вилучення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наступним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частковим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поверненням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вигляді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трансфертів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Змінивши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розподіл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доходів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між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бюджетами,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можна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змінити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рівень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фінансової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забезпеченості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Таким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чином,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кількість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статистичних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дотаційних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цьому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буде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зведена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мінімуму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по-друге,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можна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однозначно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робити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подібні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висновки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через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відмінність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нормативів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вилучення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коштів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різних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2E5B1C">
        <w:rPr>
          <w:lang w:val="uk-UA"/>
        </w:rPr>
        <w:t>4</w:t>
      </w:r>
      <w:r w:rsidR="002E5B1C" w:rsidRPr="002E5B1C">
        <w:rPr>
          <w:lang w:val="uk-UA"/>
        </w:rPr>
        <w:t xml:space="preserve">. </w:t>
      </w:r>
      <w:r w:rsidRPr="002E5B1C">
        <w:rPr>
          <w:lang w:val="uk-UA"/>
        </w:rPr>
        <w:t>Застосовувана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нашій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країні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система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фінансового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вирівнювання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є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досить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недосконалою,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оскільки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створює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необхідної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зацікавленості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органів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влади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пошуку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мобілізації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резервів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зростання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доходів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раціонального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використання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коштів</w:t>
      </w:r>
      <w:r w:rsidR="002E5B1C" w:rsidRPr="002E5B1C">
        <w:rPr>
          <w:lang w:val="uk-UA"/>
        </w:rPr>
        <w:t xml:space="preserve">: </w:t>
      </w:r>
      <w:r w:rsidRPr="002E5B1C">
        <w:rPr>
          <w:lang w:val="uk-UA"/>
        </w:rPr>
        <w:t>немає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сенсу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відшуковувати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додаткові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надходження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економити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видатках,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якщо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це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призведе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перерозподілу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доходів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шляхом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їх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прямого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вилучення</w:t>
      </w:r>
      <w:r w:rsidR="002E5B1C" w:rsidRPr="002E5B1C">
        <w:rPr>
          <w:lang w:val="uk-UA"/>
        </w:rPr>
        <w:t xml:space="preserve">. </w:t>
      </w:r>
      <w:r w:rsidRPr="002E5B1C">
        <w:rPr>
          <w:lang w:val="uk-UA"/>
        </w:rPr>
        <w:t>Неефективність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такого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механізму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полягає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ще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й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тому,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що,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згідно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чинною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практикою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планування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доходів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видатків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бюджетів,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визнання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регіону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донором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зовсім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означає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відсутність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нього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власних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фінансових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проблем</w:t>
      </w:r>
      <w:r w:rsidR="002E5B1C" w:rsidRPr="002E5B1C">
        <w:rPr>
          <w:lang w:val="uk-UA"/>
        </w:rPr>
        <w:t xml:space="preserve"> - </w:t>
      </w:r>
      <w:r w:rsidRPr="002E5B1C">
        <w:rPr>
          <w:lang w:val="uk-UA"/>
        </w:rPr>
        <w:t>просто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середньо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українському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тлі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його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показники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виглядають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краще</w:t>
      </w:r>
      <w:r w:rsidR="002E5B1C" w:rsidRPr="002E5B1C">
        <w:rPr>
          <w:lang w:val="uk-UA"/>
        </w:rPr>
        <w:t xml:space="preserve">. </w:t>
      </w:r>
      <w:r w:rsidRPr="002E5B1C">
        <w:rPr>
          <w:lang w:val="uk-UA"/>
        </w:rPr>
        <w:t>Не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випадково,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що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території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потужнішою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податковою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базою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відстоюють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свої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права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переваги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формуванні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дохідної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частини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своїх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бюджетів</w:t>
      </w:r>
      <w:r w:rsidR="002E5B1C" w:rsidRPr="002E5B1C">
        <w:rPr>
          <w:lang w:val="uk-UA"/>
        </w:rPr>
        <w:t xml:space="preserve">; </w:t>
      </w:r>
      <w:r w:rsidRPr="002E5B1C">
        <w:rPr>
          <w:lang w:val="uk-UA"/>
        </w:rPr>
        <w:t>а</w:t>
      </w:r>
      <w:r w:rsidR="002E5B1C">
        <w:rPr>
          <w:lang w:val="uk-UA"/>
        </w:rPr>
        <w:t xml:space="preserve"> "</w:t>
      </w:r>
      <w:r w:rsidRPr="002E5B1C">
        <w:rPr>
          <w:lang w:val="uk-UA"/>
        </w:rPr>
        <w:t>бідні</w:t>
      </w:r>
      <w:r w:rsidR="002E5B1C">
        <w:rPr>
          <w:lang w:val="uk-UA"/>
        </w:rPr>
        <w:t xml:space="preserve">" </w:t>
      </w:r>
      <w:r w:rsidRPr="002E5B1C">
        <w:rPr>
          <w:lang w:val="uk-UA"/>
        </w:rPr>
        <w:t>території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вимагають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збільшення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обсягів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фінансової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допомоги</w:t>
      </w:r>
      <w:r w:rsidR="002E5B1C" w:rsidRPr="002E5B1C">
        <w:rPr>
          <w:lang w:val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2E5B1C">
        <w:rPr>
          <w:lang w:val="uk-UA"/>
        </w:rPr>
        <w:t>5</w:t>
      </w:r>
      <w:r w:rsidR="002E5B1C" w:rsidRPr="002E5B1C">
        <w:rPr>
          <w:lang w:val="uk-UA"/>
        </w:rPr>
        <w:t xml:space="preserve">. </w:t>
      </w:r>
      <w:r w:rsidRPr="002E5B1C">
        <w:rPr>
          <w:lang w:val="uk-UA"/>
        </w:rPr>
        <w:t>Незважаючи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всі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вади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механізму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фінансового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вирівнювання,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повністю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відмовитися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від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нього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сьогодні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неможливо</w:t>
      </w:r>
      <w:r w:rsidR="002E5B1C" w:rsidRPr="002E5B1C">
        <w:rPr>
          <w:lang w:val="uk-UA"/>
        </w:rPr>
        <w:t xml:space="preserve">: </w:t>
      </w:r>
      <w:r w:rsidRPr="002E5B1C">
        <w:rPr>
          <w:lang w:val="uk-UA"/>
        </w:rPr>
        <w:t>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нас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надто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нерівномірне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територіальне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розміщення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продуктивних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сил,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значно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диференційована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податкова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база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регіонів,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істотна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відмінність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потребах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різних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територій,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часто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непорівнянні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обсяги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витрат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сфері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надання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державних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громадських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послуг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їх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вартість</w:t>
      </w:r>
      <w:r w:rsidR="002E5B1C" w:rsidRPr="002E5B1C">
        <w:rPr>
          <w:lang w:val="uk-UA"/>
        </w:rPr>
        <w:t xml:space="preserve">. </w:t>
      </w:r>
      <w:r w:rsidRPr="002E5B1C">
        <w:rPr>
          <w:lang w:val="uk-UA"/>
        </w:rPr>
        <w:t>Свій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вплив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також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справляють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природно-кліматичні,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історичні,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географічні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інші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чинники</w:t>
      </w:r>
      <w:r w:rsidR="002E5B1C" w:rsidRPr="002E5B1C">
        <w:rPr>
          <w:lang w:val="uk-UA"/>
        </w:rPr>
        <w:t xml:space="preserve">. </w:t>
      </w:r>
      <w:r w:rsidRPr="002E5B1C">
        <w:rPr>
          <w:lang w:val="uk-UA"/>
        </w:rPr>
        <w:t>Фіскальні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дисбаланси,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що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виникають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під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їх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дією,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вимагають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відповідного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врегулювання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боку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держави,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яка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повинна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забезпечити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дотримання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встановлених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країні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соціальних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гарантій,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принаймні,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мінімальному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рівні</w:t>
      </w:r>
      <w:r w:rsidR="002E5B1C" w:rsidRPr="002E5B1C">
        <w:rPr>
          <w:lang w:val="uk-UA"/>
        </w:rPr>
        <w:t xml:space="preserve">. </w:t>
      </w:r>
      <w:r w:rsidRPr="002E5B1C">
        <w:rPr>
          <w:lang w:val="uk-UA"/>
        </w:rPr>
        <w:t>При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цьому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завданням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держави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має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бути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зрівняння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дохідної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спроможності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бюджетів,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оптимальне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поєднання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необхідності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забезпечити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рівний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доступ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громадян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суспільних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благ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послуг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наданням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адекватної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винагороди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територіям,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внесок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яких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суспільний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добробут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більший</w:t>
      </w:r>
      <w:r w:rsidR="002E5B1C" w:rsidRPr="002E5B1C">
        <w:rPr>
          <w:lang w:val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Подальший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розвиток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самоврядування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неможливий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без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зміцнення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основ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його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фінансової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незалежності,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чого,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нашу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думку,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можна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досягти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шляхом</w:t>
      </w:r>
      <w:r w:rsidR="002E5B1C" w:rsidRPr="002E5B1C">
        <w:rPr>
          <w:lang w:val="uk-UA" w:eastAsia="uk-UA"/>
        </w:rPr>
        <w:t>:</w:t>
      </w:r>
    </w:p>
    <w:p w:rsidR="002E5B1C" w:rsidRPr="002E5B1C" w:rsidRDefault="009C6978" w:rsidP="002E5B1C">
      <w:pPr>
        <w:tabs>
          <w:tab w:val="left" w:pos="726"/>
        </w:tabs>
        <w:rPr>
          <w:lang w:val="uk-UA"/>
        </w:rPr>
      </w:pPr>
      <w:r w:rsidRPr="002E5B1C">
        <w:rPr>
          <w:lang w:val="uk-UA"/>
        </w:rPr>
        <w:t>1</w:t>
      </w:r>
      <w:r w:rsidR="002E5B1C" w:rsidRPr="002E5B1C">
        <w:rPr>
          <w:lang w:val="uk-UA"/>
        </w:rPr>
        <w:t xml:space="preserve">) </w:t>
      </w:r>
      <w:r w:rsidRPr="002E5B1C">
        <w:rPr>
          <w:lang w:val="uk-UA"/>
        </w:rPr>
        <w:t>перегляду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груп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надходжень,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що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закріплюються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місцевими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бюджетами,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тому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числі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складу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доходів,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які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враховуються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враховуються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при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визначенні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обсягів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міжбюджетних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трансфертів</w:t>
      </w:r>
      <w:r w:rsidR="002E5B1C" w:rsidRPr="002E5B1C">
        <w:rPr>
          <w:lang w:val="uk-UA"/>
        </w:rPr>
        <w:t xml:space="preserve">. </w:t>
      </w:r>
      <w:r w:rsidRPr="002E5B1C">
        <w:rPr>
          <w:lang w:val="uk-UA"/>
        </w:rPr>
        <w:t>До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складу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доходів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доцільно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було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включити,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зокрема,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частину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податку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прибуток,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додану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вартість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тощо,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складі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доходів,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які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враховуються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при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визначенні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міжбюджетних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трансфертів,</w:t>
      </w:r>
      <w:r w:rsidR="002E5B1C" w:rsidRPr="002E5B1C">
        <w:rPr>
          <w:lang w:val="uk-UA"/>
        </w:rPr>
        <w:t xml:space="preserve"> - </w:t>
      </w:r>
      <w:r w:rsidRPr="002E5B1C">
        <w:rPr>
          <w:lang w:val="uk-UA"/>
        </w:rPr>
        <w:t>передбачити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певний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відсоток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податку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доходів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фізичних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осіб</w:t>
      </w:r>
      <w:r w:rsidR="002E5B1C" w:rsidRPr="002E5B1C">
        <w:rPr>
          <w:lang w:val="uk-UA"/>
        </w:rPr>
        <w:t xml:space="preserve">. </w:t>
      </w:r>
      <w:r w:rsidRPr="002E5B1C">
        <w:rPr>
          <w:lang w:val="uk-UA"/>
        </w:rPr>
        <w:t>Це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дозволить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збільшити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частку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коштів,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що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залишається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розпорядженні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органів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місцевої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влади</w:t>
      </w:r>
      <w:r w:rsidR="002E5B1C" w:rsidRPr="002E5B1C">
        <w:rPr>
          <w:lang w:val="uk-UA"/>
        </w:rPr>
        <w:t>;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2E5B1C">
        <w:rPr>
          <w:lang w:val="uk-UA"/>
        </w:rPr>
        <w:t>2</w:t>
      </w:r>
      <w:r w:rsidR="002E5B1C" w:rsidRPr="002E5B1C">
        <w:rPr>
          <w:lang w:val="uk-UA"/>
        </w:rPr>
        <w:t xml:space="preserve">) </w:t>
      </w:r>
      <w:r w:rsidRPr="002E5B1C">
        <w:rPr>
          <w:lang w:val="uk-UA"/>
        </w:rPr>
        <w:t>перегляду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складу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видатків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бюджетів,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тому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числі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тих,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що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враховуються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враховуються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при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визначенні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обсягів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міжбюджетних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трансфертів</w:t>
      </w:r>
      <w:r w:rsidR="002E5B1C" w:rsidRPr="002E5B1C">
        <w:rPr>
          <w:lang w:val="uk-UA"/>
        </w:rPr>
        <w:t xml:space="preserve">; </w:t>
      </w:r>
      <w:r w:rsidRPr="002E5B1C">
        <w:rPr>
          <w:lang w:val="uk-UA"/>
        </w:rPr>
        <w:t>узгодження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повноважень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із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наявними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фінансовими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ресурсами</w:t>
      </w:r>
      <w:r w:rsidR="002E5B1C" w:rsidRPr="002E5B1C">
        <w:rPr>
          <w:lang w:val="uk-UA"/>
        </w:rPr>
        <w:t>;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2E5B1C">
        <w:rPr>
          <w:lang w:val="uk-UA"/>
        </w:rPr>
        <w:t>3</w:t>
      </w:r>
      <w:r w:rsidR="002E5B1C" w:rsidRPr="002E5B1C">
        <w:rPr>
          <w:lang w:val="uk-UA"/>
        </w:rPr>
        <w:t xml:space="preserve">) </w:t>
      </w:r>
      <w:r w:rsidRPr="002E5B1C">
        <w:rPr>
          <w:lang w:val="uk-UA"/>
        </w:rPr>
        <w:t>відмови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від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практики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щорічного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перегляду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нормативів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зарахування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податків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відповідних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бюджетів,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що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надасть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діяльності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органів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влади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більшої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стабільності,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створить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передумови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для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середньо</w:t>
      </w:r>
      <w:r w:rsidR="002E5B1C" w:rsidRPr="002E5B1C">
        <w:rPr>
          <w:lang w:val="uk-UA"/>
        </w:rPr>
        <w:t xml:space="preserve"> - </w:t>
      </w:r>
      <w:r w:rsidRPr="002E5B1C">
        <w:rPr>
          <w:lang w:val="uk-UA"/>
        </w:rPr>
        <w:t>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довгострокового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планування</w:t>
      </w:r>
      <w:r w:rsidR="002E5B1C" w:rsidRPr="002E5B1C">
        <w:rPr>
          <w:lang w:val="uk-UA"/>
        </w:rPr>
        <w:t>;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2E5B1C">
        <w:rPr>
          <w:lang w:val="uk-UA"/>
        </w:rPr>
        <w:t>4</w:t>
      </w:r>
      <w:r w:rsidR="002E5B1C" w:rsidRPr="002E5B1C">
        <w:rPr>
          <w:lang w:val="uk-UA"/>
        </w:rPr>
        <w:t xml:space="preserve">) </w:t>
      </w:r>
      <w:r w:rsidRPr="002E5B1C">
        <w:rPr>
          <w:lang w:val="uk-UA"/>
        </w:rPr>
        <w:t>удосконалення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системи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фінансового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вирівнювання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через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узгодження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соціальних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нормативів,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недопущення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необґрунтованого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вилучення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доходів,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одержаних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певній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території,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стимулювання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органів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влади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нарощувати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власну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дохідну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базу</w:t>
      </w:r>
      <w:r w:rsidR="002E5B1C" w:rsidRPr="002E5B1C">
        <w:rPr>
          <w:lang w:val="uk-UA"/>
        </w:rPr>
        <w:t>.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 w:eastAsia="uk-UA"/>
        </w:rPr>
      </w:pPr>
      <w:r w:rsidRPr="002E5B1C">
        <w:rPr>
          <w:lang w:val="uk-UA" w:eastAsia="uk-UA"/>
        </w:rPr>
        <w:t>Механізм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стимулювання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бюджетів-донорів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уже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закладено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формулу,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стимулювання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дотаційних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можна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здійснювати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шляхом</w:t>
      </w:r>
      <w:r w:rsidR="002E5B1C" w:rsidRPr="002E5B1C">
        <w:rPr>
          <w:lang w:val="uk-UA" w:eastAsia="uk-UA"/>
        </w:rPr>
        <w:t>: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2E5B1C">
        <w:rPr>
          <w:lang w:val="uk-UA"/>
        </w:rPr>
        <w:t>спрямування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певного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відсотка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зібраних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понад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фактичні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показники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попереднього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звітного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року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податків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частині,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що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зараховується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бюджетів,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відповідного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бюджету</w:t>
      </w:r>
      <w:r w:rsidR="002E5B1C" w:rsidRPr="002E5B1C">
        <w:rPr>
          <w:lang w:val="uk-UA"/>
        </w:rPr>
        <w:t xml:space="preserve">. </w:t>
      </w:r>
      <w:r w:rsidRPr="002E5B1C">
        <w:rPr>
          <w:lang w:val="uk-UA"/>
        </w:rPr>
        <w:t>Абсолютне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значення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частки,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яка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залишається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розпорядженні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органів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влади,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можна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диференціювати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від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10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%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50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%</w:t>
      </w:r>
      <w:r w:rsidR="002E5B1C" w:rsidRPr="002E5B1C">
        <w:rPr>
          <w:lang w:val="uk-UA"/>
        </w:rPr>
        <w:t xml:space="preserve"> - </w:t>
      </w:r>
      <w:r w:rsidRPr="002E5B1C">
        <w:rPr>
          <w:lang w:val="uk-UA"/>
        </w:rPr>
        <w:t>залежно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від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досягнутого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рівня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зростання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індексу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податкоспроможності</w:t>
      </w:r>
      <w:r w:rsidR="002E5B1C" w:rsidRPr="002E5B1C">
        <w:rPr>
          <w:lang w:val="uk-UA"/>
        </w:rPr>
        <w:t>;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2E5B1C">
        <w:rPr>
          <w:lang w:val="uk-UA"/>
        </w:rPr>
        <w:t>спрямування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дохідної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частини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відповідних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загальної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суми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податків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новоутворених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підприємств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протягом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перших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трьох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років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їх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діяльності,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наприклад,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таким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співвідношенням</w:t>
      </w:r>
      <w:r w:rsidR="002E5B1C" w:rsidRPr="002E5B1C">
        <w:rPr>
          <w:lang w:val="uk-UA"/>
        </w:rPr>
        <w:t xml:space="preserve">: </w:t>
      </w:r>
      <w:r w:rsidRPr="002E5B1C">
        <w:rPr>
          <w:lang w:val="uk-UA"/>
        </w:rPr>
        <w:t>до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самоврядування</w:t>
      </w:r>
      <w:r w:rsidR="002E5B1C" w:rsidRPr="002E5B1C">
        <w:rPr>
          <w:lang w:val="uk-UA"/>
        </w:rPr>
        <w:t xml:space="preserve"> - </w:t>
      </w:r>
      <w:r w:rsidRPr="002E5B1C">
        <w:rPr>
          <w:lang w:val="uk-UA"/>
        </w:rPr>
        <w:t>50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%,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району</w:t>
      </w:r>
      <w:r w:rsidR="002E5B1C" w:rsidRPr="002E5B1C">
        <w:rPr>
          <w:lang w:val="uk-UA"/>
        </w:rPr>
        <w:t xml:space="preserve"> - </w:t>
      </w:r>
      <w:r w:rsidRPr="002E5B1C">
        <w:rPr>
          <w:lang w:val="uk-UA"/>
        </w:rPr>
        <w:t>25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%,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до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бюджету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області</w:t>
      </w:r>
      <w:r w:rsidR="002E5B1C" w:rsidRPr="002E5B1C">
        <w:rPr>
          <w:lang w:val="uk-UA"/>
        </w:rPr>
        <w:t xml:space="preserve"> - </w:t>
      </w:r>
      <w:r w:rsidRPr="002E5B1C">
        <w:rPr>
          <w:lang w:val="uk-UA"/>
        </w:rPr>
        <w:t>25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%</w:t>
      </w:r>
      <w:r w:rsidR="002E5B1C" w:rsidRPr="002E5B1C">
        <w:rPr>
          <w:lang w:val="uk-UA"/>
        </w:rPr>
        <w:t>;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2E5B1C">
        <w:rPr>
          <w:lang w:val="uk-UA"/>
        </w:rPr>
        <w:t>забезпечення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цільового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використання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вилучених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із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бюджетів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коштів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соціально-економічний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розвиток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регіонів,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що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забезпечили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таке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збільшення</w:t>
      </w:r>
      <w:r w:rsidR="002E5B1C" w:rsidRPr="002E5B1C">
        <w:rPr>
          <w:lang w:val="uk-UA"/>
        </w:rPr>
        <w:t>;</w:t>
      </w:r>
    </w:p>
    <w:p w:rsidR="002E5B1C" w:rsidRPr="002E5B1C" w:rsidRDefault="009C6978" w:rsidP="002E5B1C">
      <w:pPr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2E5B1C">
        <w:rPr>
          <w:lang w:val="uk-UA"/>
        </w:rPr>
        <w:t>5</w:t>
      </w:r>
      <w:r w:rsidR="002E5B1C" w:rsidRPr="002E5B1C">
        <w:rPr>
          <w:lang w:val="uk-UA"/>
        </w:rPr>
        <w:t xml:space="preserve">) </w:t>
      </w:r>
      <w:r w:rsidRPr="002E5B1C">
        <w:rPr>
          <w:lang w:val="uk-UA"/>
        </w:rPr>
        <w:t>удосконалення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системи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податків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зборів,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надання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місцевим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органам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влади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більших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повноважень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щодо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їх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запровадження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і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справляння</w:t>
      </w:r>
      <w:r w:rsidR="002E5B1C" w:rsidRPr="002E5B1C">
        <w:rPr>
          <w:lang w:val="uk-UA"/>
        </w:rPr>
        <w:t>.</w:t>
      </w:r>
    </w:p>
    <w:p w:rsidR="002E5B1C" w:rsidRPr="002E5B1C" w:rsidRDefault="009C6978" w:rsidP="002E5B1C">
      <w:pPr>
        <w:tabs>
          <w:tab w:val="left" w:pos="726"/>
        </w:tabs>
        <w:rPr>
          <w:lang w:val="uk-UA" w:eastAsia="uk-UA"/>
        </w:rPr>
      </w:pPr>
      <w:r w:rsidRPr="002E5B1C">
        <w:rPr>
          <w:lang w:val="uk-UA" w:eastAsia="uk-UA"/>
        </w:rPr>
        <w:t>Підвищуючи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рівень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фінансової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забезпеченості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територій,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необхідно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посилювати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контроль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законністю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рішень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органів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місцевого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самоврядування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фінансовій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сфері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їх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відповідальність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формування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ефективне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використання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ресурсів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перед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громадою,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зокрема,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шляхом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запровадження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обов'язкових,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принаймні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щоквартальних,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друкованих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звітів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результати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діяльності</w:t>
      </w:r>
      <w:r w:rsidR="002E5B1C" w:rsidRPr="002E5B1C">
        <w:rPr>
          <w:lang w:val="uk-UA" w:eastAsia="uk-UA"/>
        </w:rPr>
        <w:t>.</w:t>
      </w:r>
    </w:p>
    <w:p w:rsidR="002E5B1C" w:rsidRDefault="002E5B1C" w:rsidP="002E5B1C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3" w:name="_Toc287169056"/>
      <w:r w:rsidRPr="002E5B1C">
        <w:rPr>
          <w:lang w:val="uk-UA"/>
        </w:rPr>
        <w:t xml:space="preserve">Використана </w:t>
      </w:r>
      <w:r>
        <w:rPr>
          <w:lang w:val="uk-UA"/>
        </w:rPr>
        <w:t>література</w:t>
      </w:r>
      <w:bookmarkEnd w:id="3"/>
    </w:p>
    <w:p w:rsidR="002E5B1C" w:rsidRPr="002E5B1C" w:rsidRDefault="002E5B1C" w:rsidP="002E5B1C">
      <w:pPr>
        <w:rPr>
          <w:lang w:val="uk-UA" w:eastAsia="en-US"/>
        </w:rPr>
      </w:pPr>
    </w:p>
    <w:p w:rsidR="002E5B1C" w:rsidRPr="002E5B1C" w:rsidRDefault="009C6978" w:rsidP="002E5B1C">
      <w:pPr>
        <w:pStyle w:val="a"/>
        <w:rPr>
          <w:lang w:val="uk-UA" w:eastAsia="uk-UA"/>
        </w:rPr>
      </w:pPr>
      <w:r w:rsidRPr="002E5B1C">
        <w:rPr>
          <w:lang w:val="uk-UA" w:eastAsia="uk-UA"/>
        </w:rPr>
        <w:t>Висновки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щодо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виконання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України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2009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рік</w:t>
      </w:r>
      <w:r w:rsidR="002E5B1C">
        <w:rPr>
          <w:lang w:val="uk-UA" w:eastAsia="uk-UA"/>
        </w:rPr>
        <w:t xml:space="preserve"> // </w:t>
      </w:r>
      <w:r w:rsidRPr="002E5B1C">
        <w:rPr>
          <w:lang w:val="uk-UA" w:eastAsia="uk-UA"/>
        </w:rPr>
        <w:t>Постанова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Колегії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Рахункової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палати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України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від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6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травня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2010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року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9-6</w:t>
      </w:r>
      <w:r w:rsidR="002E5B1C">
        <w:rPr>
          <w:lang w:val="uk-UA" w:eastAsia="uk-UA"/>
        </w:rPr>
        <w:t xml:space="preserve">. - </w:t>
      </w:r>
      <w:r w:rsidR="002E5B1C">
        <w:rPr>
          <w:lang w:val="en-US" w:eastAsia="uk-UA"/>
        </w:rPr>
        <w:t>http</w:t>
      </w:r>
      <w:r w:rsidR="002E5B1C" w:rsidRPr="002E5B1C">
        <w:rPr>
          <w:lang w:eastAsia="uk-UA"/>
        </w:rPr>
        <w:t>://</w:t>
      </w:r>
      <w:r w:rsidR="002E5B1C">
        <w:rPr>
          <w:lang w:val="en-US" w:eastAsia="uk-UA"/>
        </w:rPr>
        <w:t>www</w:t>
      </w:r>
      <w:r w:rsidR="002E5B1C" w:rsidRPr="002E5B1C">
        <w:rPr>
          <w:lang w:eastAsia="uk-UA"/>
        </w:rPr>
        <w:t>.</w:t>
      </w:r>
      <w:r w:rsidRPr="002E5B1C">
        <w:rPr>
          <w:lang w:val="en-US" w:eastAsia="uk-UA"/>
        </w:rPr>
        <w:t>ac</w:t>
      </w:r>
      <w:r w:rsidRPr="002E5B1C">
        <w:rPr>
          <w:lang w:val="uk-UA" w:eastAsia="uk-UA"/>
        </w:rPr>
        <w:t>-</w:t>
      </w:r>
      <w:r w:rsidRPr="002E5B1C">
        <w:rPr>
          <w:lang w:val="en-US" w:eastAsia="uk-UA"/>
        </w:rPr>
        <w:t>rada</w:t>
      </w:r>
      <w:r w:rsidR="002E5B1C">
        <w:rPr>
          <w:lang w:val="uk-UA" w:eastAsia="uk-UA"/>
        </w:rPr>
        <w:t>.gov.ua</w:t>
      </w:r>
      <w:r w:rsidR="002E5B1C" w:rsidRPr="002E5B1C">
        <w:rPr>
          <w:lang w:val="uk-UA" w:eastAsia="uk-UA"/>
        </w:rPr>
        <w:t>.</w:t>
      </w:r>
    </w:p>
    <w:p w:rsidR="002E5B1C" w:rsidRPr="002E5B1C" w:rsidRDefault="009C6978" w:rsidP="002E5B1C">
      <w:pPr>
        <w:pStyle w:val="a"/>
        <w:rPr>
          <w:lang w:val="uk-UA" w:eastAsia="uk-UA"/>
        </w:rPr>
      </w:pPr>
      <w:r w:rsidRPr="002E5B1C">
        <w:rPr>
          <w:lang w:val="uk-UA" w:eastAsia="uk-UA"/>
        </w:rPr>
        <w:t>Офіційні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сайти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Харківської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обласної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державної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адміністрації</w:t>
      </w:r>
      <w:r w:rsidR="002E5B1C">
        <w:rPr>
          <w:lang w:val="uk-UA" w:eastAsia="uk-UA"/>
        </w:rPr>
        <w:t xml:space="preserve"> (</w:t>
      </w:r>
      <w:r w:rsidR="002E5B1C">
        <w:rPr>
          <w:lang w:val="en-US" w:eastAsia="uk-UA"/>
        </w:rPr>
        <w:t>http</w:t>
      </w:r>
      <w:r w:rsidR="002E5B1C" w:rsidRPr="002E5B1C">
        <w:rPr>
          <w:lang w:val="uk-UA" w:eastAsia="uk-UA"/>
        </w:rPr>
        <w:t>://</w:t>
      </w:r>
      <w:r w:rsidR="002E5B1C">
        <w:rPr>
          <w:lang w:val="en-US" w:eastAsia="uk-UA"/>
        </w:rPr>
        <w:t>www</w:t>
      </w:r>
      <w:r w:rsidR="002E5B1C" w:rsidRPr="002E5B1C">
        <w:rPr>
          <w:lang w:val="uk-UA" w:eastAsia="uk-UA"/>
        </w:rPr>
        <w:t>.</w:t>
      </w:r>
      <w:r w:rsidRPr="002E5B1C">
        <w:rPr>
          <w:lang w:val="en-US" w:eastAsia="uk-UA"/>
        </w:rPr>
        <w:t>kharkivoda</w:t>
      </w:r>
      <w:r w:rsidR="002E5B1C">
        <w:rPr>
          <w:lang w:val="uk-UA" w:eastAsia="uk-UA"/>
        </w:rPr>
        <w:t>.gov.ua</w:t>
      </w:r>
      <w:r w:rsidR="002E5B1C" w:rsidRPr="002E5B1C">
        <w:rPr>
          <w:lang w:val="uk-UA" w:eastAsia="uk-UA"/>
        </w:rPr>
        <w:t xml:space="preserve">) </w:t>
      </w:r>
      <w:r w:rsidRPr="002E5B1C">
        <w:rPr>
          <w:lang w:val="uk-UA" w:eastAsia="uk-UA"/>
        </w:rPr>
        <w:t>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Дзержинського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району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Харкова</w:t>
      </w:r>
      <w:r w:rsidR="002E5B1C">
        <w:rPr>
          <w:lang w:val="uk-UA" w:eastAsia="uk-UA"/>
        </w:rPr>
        <w:t xml:space="preserve"> (</w:t>
      </w:r>
      <w:r w:rsidR="002E5B1C">
        <w:rPr>
          <w:lang w:val="en-US" w:eastAsia="uk-UA"/>
        </w:rPr>
        <w:t>http</w:t>
      </w:r>
      <w:r w:rsidR="002E5B1C" w:rsidRPr="002E5B1C">
        <w:rPr>
          <w:lang w:val="uk-UA" w:eastAsia="uk-UA"/>
        </w:rPr>
        <w:t>://</w:t>
      </w:r>
      <w:r w:rsidR="002E5B1C">
        <w:rPr>
          <w:lang w:val="en-US" w:eastAsia="uk-UA"/>
        </w:rPr>
        <w:t>www</w:t>
      </w:r>
      <w:r w:rsidR="002E5B1C" w:rsidRPr="002E5B1C">
        <w:rPr>
          <w:lang w:val="uk-UA" w:eastAsia="uk-UA"/>
        </w:rPr>
        <w:t>.</w:t>
      </w:r>
      <w:r w:rsidRPr="002E5B1C">
        <w:rPr>
          <w:lang w:val="en-US" w:eastAsia="uk-UA"/>
        </w:rPr>
        <w:t>dzerzhrada</w:t>
      </w:r>
      <w:r w:rsidR="002E5B1C" w:rsidRPr="002E5B1C">
        <w:rPr>
          <w:lang w:val="uk-UA" w:eastAsia="uk-UA"/>
        </w:rPr>
        <w:t xml:space="preserve">. </w:t>
      </w:r>
      <w:r w:rsidRPr="002E5B1C">
        <w:rPr>
          <w:lang w:val="en-US" w:eastAsia="uk-UA"/>
        </w:rPr>
        <w:t>kharkov</w:t>
      </w:r>
      <w:r w:rsidR="002E5B1C">
        <w:rPr>
          <w:lang w:val="uk-UA" w:eastAsia="uk-UA"/>
        </w:rPr>
        <w:t>.ua</w:t>
      </w:r>
      <w:r w:rsidR="002E5B1C" w:rsidRPr="002E5B1C">
        <w:rPr>
          <w:lang w:val="uk-UA" w:eastAsia="uk-UA"/>
        </w:rPr>
        <w:t>).</w:t>
      </w:r>
    </w:p>
    <w:p w:rsidR="002E5B1C" w:rsidRPr="002E5B1C" w:rsidRDefault="009C6978" w:rsidP="002E5B1C">
      <w:pPr>
        <w:pStyle w:val="a"/>
        <w:rPr>
          <w:lang w:val="uk-UA"/>
        </w:rPr>
      </w:pPr>
      <w:r w:rsidRPr="002E5B1C">
        <w:rPr>
          <w:lang w:val="uk-UA"/>
        </w:rPr>
        <w:t>Бюджетний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кодекс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України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від</w:t>
      </w:r>
      <w:r w:rsidR="002E5B1C" w:rsidRPr="002E5B1C">
        <w:t xml:space="preserve"> </w:t>
      </w:r>
      <w:r w:rsidRPr="002E5B1C">
        <w:t>21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червня</w:t>
      </w:r>
      <w:r w:rsidR="002E5B1C" w:rsidRPr="002E5B1C">
        <w:t xml:space="preserve"> </w:t>
      </w:r>
      <w:r w:rsidRPr="002E5B1C">
        <w:t>2001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року</w:t>
      </w:r>
      <w:r w:rsidR="002E5B1C">
        <w:rPr>
          <w:lang w:val="uk-UA"/>
        </w:rPr>
        <w:t xml:space="preserve">. - </w:t>
      </w:r>
      <w:r w:rsidRPr="002E5B1C">
        <w:rPr>
          <w:lang w:val="uk-UA"/>
        </w:rPr>
        <w:t>К</w:t>
      </w:r>
      <w:r w:rsidR="002E5B1C" w:rsidRPr="002E5B1C">
        <w:rPr>
          <w:lang w:val="uk-UA"/>
        </w:rPr>
        <w:t xml:space="preserve">.: </w:t>
      </w:r>
      <w:r w:rsidRPr="002E5B1C">
        <w:rPr>
          <w:lang w:val="uk-UA"/>
        </w:rPr>
        <w:t>Атіка,</w:t>
      </w:r>
      <w:r w:rsidR="002E5B1C" w:rsidRPr="002E5B1C">
        <w:t xml:space="preserve"> </w:t>
      </w:r>
      <w:r w:rsidRPr="002E5B1C">
        <w:t>2001</w:t>
      </w:r>
      <w:r w:rsidR="002E5B1C">
        <w:t xml:space="preserve">. - </w:t>
      </w:r>
      <w:r w:rsidRPr="002E5B1C">
        <w:t>80</w:t>
      </w:r>
      <w:r w:rsidR="002E5B1C" w:rsidRPr="002E5B1C">
        <w:rPr>
          <w:lang w:val="uk-UA"/>
        </w:rPr>
        <w:t xml:space="preserve"> </w:t>
      </w:r>
      <w:r w:rsidRPr="002E5B1C">
        <w:rPr>
          <w:lang w:val="uk-UA"/>
        </w:rPr>
        <w:t>с</w:t>
      </w:r>
      <w:r w:rsidR="002E5B1C" w:rsidRPr="002E5B1C">
        <w:rPr>
          <w:lang w:val="uk-UA"/>
        </w:rPr>
        <w:t>.</w:t>
      </w:r>
    </w:p>
    <w:p w:rsidR="002E5B1C" w:rsidRPr="002E5B1C" w:rsidRDefault="009C6978" w:rsidP="002E5B1C">
      <w:pPr>
        <w:pStyle w:val="a"/>
        <w:rPr>
          <w:lang w:eastAsia="uk-UA"/>
        </w:rPr>
      </w:pPr>
      <w:r w:rsidRPr="002E5B1C">
        <w:rPr>
          <w:lang w:val="uk-UA" w:eastAsia="uk-UA"/>
        </w:rPr>
        <w:t>Закон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України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'</w:t>
      </w:r>
      <w:r w:rsidR="002E5B1C">
        <w:rPr>
          <w:lang w:val="uk-UA" w:eastAsia="uk-UA"/>
        </w:rPr>
        <w:t>"</w:t>
      </w:r>
      <w:r w:rsidRPr="002E5B1C">
        <w:rPr>
          <w:lang w:val="uk-UA" w:eastAsia="uk-UA"/>
        </w:rPr>
        <w:t>Про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України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200</w:t>
      </w:r>
      <w:r w:rsidRPr="002E5B1C">
        <w:rPr>
          <w:lang w:val="uk-UA" w:eastAsia="uk-UA"/>
        </w:rPr>
        <w:t>9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внесення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змін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деяких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законодавчих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актів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України</w:t>
      </w:r>
      <w:r w:rsidR="002E5B1C">
        <w:rPr>
          <w:lang w:val="uk-UA" w:eastAsia="uk-UA"/>
        </w:rPr>
        <w:t xml:space="preserve">" </w:t>
      </w:r>
      <w:r w:rsidRPr="002E5B1C">
        <w:rPr>
          <w:lang w:val="uk-UA" w:eastAsia="uk-UA"/>
        </w:rPr>
        <w:t>від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28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грудня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200</w:t>
      </w:r>
      <w:r w:rsidRPr="002E5B1C">
        <w:rPr>
          <w:lang w:val="uk-UA" w:eastAsia="uk-UA"/>
        </w:rPr>
        <w:t>8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року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№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1</w:t>
      </w:r>
      <w:r w:rsidRPr="002E5B1C">
        <w:rPr>
          <w:lang w:eastAsia="uk-UA"/>
        </w:rPr>
        <w:t>07-</w:t>
      </w:r>
      <w:r w:rsidRPr="002E5B1C">
        <w:rPr>
          <w:lang w:val="uk-UA" w:eastAsia="uk-UA"/>
        </w:rPr>
        <w:t>VI</w:t>
      </w:r>
      <w:r w:rsidR="002E5B1C" w:rsidRPr="002E5B1C">
        <w:rPr>
          <w:lang w:eastAsia="uk-UA"/>
        </w:rPr>
        <w:t xml:space="preserve"> - </w:t>
      </w:r>
      <w:r w:rsidR="002E5B1C">
        <w:rPr>
          <w:lang w:val="en-US" w:eastAsia="uk-UA"/>
        </w:rPr>
        <w:t>http</w:t>
      </w:r>
      <w:r w:rsidR="002E5B1C" w:rsidRPr="002E5B1C">
        <w:rPr>
          <w:lang w:eastAsia="uk-UA"/>
        </w:rPr>
        <w:t>://</w:t>
      </w:r>
      <w:r w:rsidR="002E5B1C">
        <w:rPr>
          <w:lang w:val="en-US" w:eastAsia="uk-UA"/>
        </w:rPr>
        <w:t>www</w:t>
      </w:r>
      <w:r w:rsidR="002E5B1C" w:rsidRPr="002E5B1C">
        <w:rPr>
          <w:lang w:eastAsia="uk-UA"/>
        </w:rPr>
        <w:t>.</w:t>
      </w:r>
      <w:r w:rsidRPr="002E5B1C">
        <w:rPr>
          <w:lang w:val="en-US" w:eastAsia="uk-UA"/>
        </w:rPr>
        <w:t>zakon</w:t>
      </w:r>
      <w:r w:rsidR="002E5B1C" w:rsidRPr="002E5B1C">
        <w:rPr>
          <w:lang w:eastAsia="uk-UA"/>
        </w:rPr>
        <w:t xml:space="preserve">. </w:t>
      </w:r>
      <w:r w:rsidRPr="002E5B1C">
        <w:rPr>
          <w:lang w:val="en-US" w:eastAsia="uk-UA"/>
        </w:rPr>
        <w:t>rada</w:t>
      </w:r>
      <w:r w:rsidR="002E5B1C" w:rsidRPr="002E5B1C">
        <w:rPr>
          <w:lang w:eastAsia="uk-UA"/>
        </w:rPr>
        <w:t xml:space="preserve">. </w:t>
      </w:r>
      <w:r w:rsidRPr="002E5B1C">
        <w:rPr>
          <w:lang w:val="en-US" w:eastAsia="uk-UA"/>
        </w:rPr>
        <w:t>gov</w:t>
      </w:r>
      <w:r w:rsidR="002E5B1C">
        <w:rPr>
          <w:lang w:eastAsia="uk-UA"/>
        </w:rPr>
        <w:t>.ua</w:t>
      </w:r>
      <w:r w:rsidRPr="002E5B1C">
        <w:rPr>
          <w:lang w:eastAsia="uk-UA"/>
        </w:rPr>
        <w:t>/</w:t>
      </w:r>
      <w:r w:rsidRPr="002E5B1C">
        <w:rPr>
          <w:lang w:val="en-US" w:eastAsia="uk-UA"/>
        </w:rPr>
        <w:t>cgi</w:t>
      </w:r>
      <w:r w:rsidRPr="002E5B1C">
        <w:rPr>
          <w:lang w:eastAsia="uk-UA"/>
        </w:rPr>
        <w:t>-</w:t>
      </w:r>
      <w:r w:rsidRPr="002E5B1C">
        <w:rPr>
          <w:lang w:val="en-US" w:eastAsia="uk-UA"/>
        </w:rPr>
        <w:t>bin</w:t>
      </w:r>
      <w:r w:rsidRPr="002E5B1C">
        <w:rPr>
          <w:lang w:eastAsia="uk-UA"/>
        </w:rPr>
        <w:t>/</w:t>
      </w:r>
      <w:r w:rsidRPr="002E5B1C">
        <w:rPr>
          <w:lang w:val="en-US" w:eastAsia="uk-UA"/>
        </w:rPr>
        <w:t>laws</w:t>
      </w:r>
      <w:r w:rsidRPr="002E5B1C">
        <w:rPr>
          <w:lang w:eastAsia="uk-UA"/>
        </w:rPr>
        <w:t>/</w:t>
      </w:r>
      <w:r w:rsidR="002E5B1C" w:rsidRPr="002E5B1C">
        <w:rPr>
          <w:lang w:eastAsia="uk-UA"/>
        </w:rPr>
        <w:t>.</w:t>
      </w:r>
    </w:p>
    <w:p w:rsidR="009C6978" w:rsidRPr="003270A3" w:rsidRDefault="009C6978" w:rsidP="002E5B1C">
      <w:pPr>
        <w:pStyle w:val="a"/>
        <w:rPr>
          <w:lang w:eastAsia="uk-UA"/>
        </w:rPr>
      </w:pPr>
      <w:r w:rsidRPr="002E5B1C">
        <w:rPr>
          <w:lang w:val="uk-UA" w:eastAsia="uk-UA"/>
        </w:rPr>
        <w:t>Закон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України</w:t>
      </w:r>
      <w:r w:rsidR="002E5B1C">
        <w:rPr>
          <w:lang w:val="uk-UA" w:eastAsia="uk-UA"/>
        </w:rPr>
        <w:t xml:space="preserve"> "</w:t>
      </w:r>
      <w:r w:rsidRPr="002E5B1C">
        <w:rPr>
          <w:lang w:val="uk-UA" w:eastAsia="uk-UA"/>
        </w:rPr>
        <w:t>Про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державний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бюджет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України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на</w:t>
      </w:r>
      <w:r w:rsidR="002E5B1C" w:rsidRPr="002E5B1C">
        <w:rPr>
          <w:lang w:eastAsia="uk-UA"/>
        </w:rPr>
        <w:t xml:space="preserve"> </w:t>
      </w:r>
      <w:r w:rsidRPr="002E5B1C">
        <w:rPr>
          <w:lang w:eastAsia="uk-UA"/>
        </w:rPr>
        <w:t>200</w:t>
      </w:r>
      <w:r w:rsidRPr="002E5B1C">
        <w:rPr>
          <w:lang w:val="uk-UA" w:eastAsia="uk-UA"/>
        </w:rPr>
        <w:t>9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рік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та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про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внесення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змін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до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деяких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законодавчих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актів</w:t>
      </w:r>
      <w:r w:rsidR="002E5B1C" w:rsidRPr="002E5B1C">
        <w:rPr>
          <w:lang w:val="uk-UA" w:eastAsia="uk-UA"/>
        </w:rPr>
        <w:t xml:space="preserve"> </w:t>
      </w:r>
      <w:r w:rsidRPr="002E5B1C">
        <w:rPr>
          <w:lang w:val="uk-UA" w:eastAsia="uk-UA"/>
        </w:rPr>
        <w:t>України</w:t>
      </w:r>
      <w:r w:rsidR="002E5B1C">
        <w:rPr>
          <w:lang w:val="uk-UA" w:eastAsia="uk-UA"/>
        </w:rPr>
        <w:t xml:space="preserve">". - </w:t>
      </w:r>
      <w:r w:rsidR="002E5B1C">
        <w:rPr>
          <w:lang w:val="en-US" w:eastAsia="uk-UA"/>
        </w:rPr>
        <w:t>http</w:t>
      </w:r>
      <w:r w:rsidR="002E5B1C" w:rsidRPr="002E5B1C">
        <w:rPr>
          <w:lang w:eastAsia="uk-UA"/>
        </w:rPr>
        <w:t>://</w:t>
      </w:r>
      <w:r w:rsidR="002E5B1C">
        <w:rPr>
          <w:lang w:val="en-US" w:eastAsia="uk-UA"/>
        </w:rPr>
        <w:t>www</w:t>
      </w:r>
      <w:r w:rsidR="002E5B1C" w:rsidRPr="002E5B1C">
        <w:rPr>
          <w:lang w:eastAsia="uk-UA"/>
        </w:rPr>
        <w:t>.</w:t>
      </w:r>
      <w:r w:rsidRPr="002E5B1C">
        <w:rPr>
          <w:lang w:val="en-US" w:eastAsia="uk-UA"/>
        </w:rPr>
        <w:t>zakon</w:t>
      </w:r>
      <w:r w:rsidR="002E5B1C" w:rsidRPr="002E5B1C">
        <w:rPr>
          <w:lang w:eastAsia="uk-UA"/>
        </w:rPr>
        <w:t xml:space="preserve">. </w:t>
      </w:r>
      <w:r w:rsidRPr="002E5B1C">
        <w:rPr>
          <w:lang w:val="en-US" w:eastAsia="uk-UA"/>
        </w:rPr>
        <w:t>rada</w:t>
      </w:r>
      <w:r w:rsidR="002E5B1C">
        <w:rPr>
          <w:lang w:eastAsia="uk-UA"/>
        </w:rPr>
        <w:t>.gov.ua</w:t>
      </w:r>
      <w:r w:rsidRPr="002E5B1C">
        <w:rPr>
          <w:lang w:eastAsia="uk-UA"/>
        </w:rPr>
        <w:t>/</w:t>
      </w:r>
      <w:r w:rsidRPr="002E5B1C">
        <w:rPr>
          <w:lang w:val="en-US" w:eastAsia="uk-UA"/>
        </w:rPr>
        <w:t>cgi</w:t>
      </w:r>
      <w:r w:rsidRPr="002E5B1C">
        <w:rPr>
          <w:lang w:eastAsia="uk-UA"/>
        </w:rPr>
        <w:t>-</w:t>
      </w:r>
      <w:r w:rsidRPr="002E5B1C">
        <w:rPr>
          <w:lang w:val="en-US" w:eastAsia="uk-UA"/>
        </w:rPr>
        <w:t>bin</w:t>
      </w:r>
      <w:r w:rsidRPr="002E5B1C">
        <w:rPr>
          <w:lang w:eastAsia="uk-UA"/>
        </w:rPr>
        <w:t>/</w:t>
      </w:r>
      <w:r w:rsidRPr="002E5B1C">
        <w:rPr>
          <w:lang w:val="en-US" w:eastAsia="uk-UA"/>
        </w:rPr>
        <w:t>laws</w:t>
      </w:r>
      <w:r w:rsidR="002E5B1C" w:rsidRPr="002E5B1C">
        <w:rPr>
          <w:lang w:eastAsia="uk-UA"/>
        </w:rPr>
        <w:t>.</w:t>
      </w:r>
    </w:p>
    <w:p w:rsidR="003270A3" w:rsidRPr="003270A3" w:rsidRDefault="003270A3" w:rsidP="003270A3">
      <w:pPr>
        <w:pStyle w:val="af5"/>
        <w:rPr>
          <w:lang w:val="uk-UA"/>
        </w:rPr>
      </w:pPr>
      <w:bookmarkStart w:id="4" w:name="_GoBack"/>
      <w:bookmarkEnd w:id="4"/>
    </w:p>
    <w:sectPr w:rsidR="003270A3" w:rsidRPr="003270A3" w:rsidSect="002E5B1C">
      <w:headerReference w:type="default" r:id="rId7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1B4" w:rsidRDefault="005561B4" w:rsidP="00546C29">
      <w:r>
        <w:separator/>
      </w:r>
    </w:p>
  </w:endnote>
  <w:endnote w:type="continuationSeparator" w:id="0">
    <w:p w:rsidR="005561B4" w:rsidRDefault="005561B4" w:rsidP="0054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1B4" w:rsidRDefault="005561B4" w:rsidP="00546C29">
      <w:r>
        <w:separator/>
      </w:r>
    </w:p>
  </w:footnote>
  <w:footnote w:type="continuationSeparator" w:id="0">
    <w:p w:rsidR="005561B4" w:rsidRDefault="005561B4" w:rsidP="00546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B1C" w:rsidRDefault="002E5B1C" w:rsidP="002E5B1C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96CB7"/>
    <w:multiLevelType w:val="hybridMultilevel"/>
    <w:tmpl w:val="09B600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8B55806"/>
    <w:multiLevelType w:val="hybridMultilevel"/>
    <w:tmpl w:val="CD166FB2"/>
    <w:lvl w:ilvl="0" w:tplc="952082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305"/>
    <w:rsid w:val="00003423"/>
    <w:rsid w:val="000F022D"/>
    <w:rsid w:val="002170E7"/>
    <w:rsid w:val="0027024D"/>
    <w:rsid w:val="002E5B1C"/>
    <w:rsid w:val="002F1F55"/>
    <w:rsid w:val="00307305"/>
    <w:rsid w:val="003270A3"/>
    <w:rsid w:val="00422FE6"/>
    <w:rsid w:val="004A661D"/>
    <w:rsid w:val="0051289F"/>
    <w:rsid w:val="00546C29"/>
    <w:rsid w:val="005561B4"/>
    <w:rsid w:val="007D34C3"/>
    <w:rsid w:val="007F4B45"/>
    <w:rsid w:val="00812FA0"/>
    <w:rsid w:val="008514BC"/>
    <w:rsid w:val="009C6978"/>
    <w:rsid w:val="00AF22D0"/>
    <w:rsid w:val="00B54932"/>
    <w:rsid w:val="00BC5F24"/>
    <w:rsid w:val="00C177B5"/>
    <w:rsid w:val="00D156D6"/>
    <w:rsid w:val="00DA3968"/>
    <w:rsid w:val="00E37866"/>
    <w:rsid w:val="00ED5039"/>
    <w:rsid w:val="00F8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70BAAE3-1C73-4017-80BB-3563F8DF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2E5B1C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2E5B1C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2E5B1C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2E5B1C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2E5B1C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2E5B1C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2E5B1C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2E5B1C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2E5B1C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2E5B1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locked/>
    <w:rsid w:val="002E5B1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2E5B1C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2E5B1C"/>
  </w:style>
  <w:style w:type="character" w:customStyle="1" w:styleId="a8">
    <w:name w:val="Основной текст Знак"/>
    <w:link w:val="a5"/>
    <w:uiPriority w:val="99"/>
    <w:semiHidden/>
    <w:rPr>
      <w:color w:val="000000"/>
      <w:sz w:val="28"/>
      <w:szCs w:val="28"/>
    </w:rPr>
  </w:style>
  <w:style w:type="character" w:styleId="a9">
    <w:name w:val="Hyperlink"/>
    <w:uiPriority w:val="99"/>
    <w:rsid w:val="002E5B1C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link w:val="a4"/>
    <w:uiPriority w:val="99"/>
    <w:semiHidden/>
    <w:locked/>
    <w:rsid w:val="002E5B1C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2E5B1C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2E5B1C"/>
    <w:pPr>
      <w:numPr>
        <w:numId w:val="3"/>
      </w:numPr>
      <w:spacing w:line="360" w:lineRule="auto"/>
      <w:jc w:val="both"/>
    </w:pPr>
    <w:rPr>
      <w:sz w:val="28"/>
      <w:szCs w:val="28"/>
    </w:rPr>
  </w:style>
  <w:style w:type="paragraph" w:customStyle="1" w:styleId="ab">
    <w:name w:val="лит+нумерация"/>
    <w:basedOn w:val="a0"/>
    <w:next w:val="a0"/>
    <w:autoRedefine/>
    <w:uiPriority w:val="99"/>
    <w:rsid w:val="002E5B1C"/>
    <w:pPr>
      <w:ind w:firstLine="0"/>
    </w:pPr>
    <w:rPr>
      <w:iCs/>
    </w:rPr>
  </w:style>
  <w:style w:type="paragraph" w:styleId="ac">
    <w:name w:val="caption"/>
    <w:basedOn w:val="a0"/>
    <w:next w:val="a0"/>
    <w:uiPriority w:val="99"/>
    <w:qFormat/>
    <w:locked/>
    <w:rsid w:val="002E5B1C"/>
    <w:rPr>
      <w:b/>
      <w:bCs/>
      <w:sz w:val="20"/>
      <w:szCs w:val="20"/>
    </w:rPr>
  </w:style>
  <w:style w:type="paragraph" w:styleId="ad">
    <w:name w:val="footer"/>
    <w:basedOn w:val="a0"/>
    <w:link w:val="ae"/>
    <w:uiPriority w:val="99"/>
    <w:rsid w:val="002E5B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color w:val="000000"/>
      <w:sz w:val="28"/>
      <w:szCs w:val="28"/>
    </w:rPr>
  </w:style>
  <w:style w:type="character" w:styleId="af">
    <w:name w:val="page number"/>
    <w:uiPriority w:val="99"/>
    <w:rsid w:val="002E5B1C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2E5B1C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2E5B1C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2E5B1C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2E5B1C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2E5B1C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2E5B1C"/>
    <w:rPr>
      <w:color w:val="FFFFFF"/>
    </w:rPr>
  </w:style>
  <w:style w:type="paragraph" w:customStyle="1" w:styleId="af6">
    <w:name w:val="содержание"/>
    <w:uiPriority w:val="99"/>
    <w:rsid w:val="002E5B1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2E5B1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2E5B1C"/>
    <w:pPr>
      <w:jc w:val="center"/>
    </w:pPr>
  </w:style>
  <w:style w:type="paragraph" w:customStyle="1" w:styleId="af8">
    <w:name w:val="ТАБЛИЦА"/>
    <w:next w:val="a0"/>
    <w:autoRedefine/>
    <w:uiPriority w:val="99"/>
    <w:rsid w:val="002E5B1C"/>
    <w:pPr>
      <w:spacing w:line="360" w:lineRule="auto"/>
    </w:pPr>
    <w:rPr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2E5B1C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2E5B1C"/>
    <w:rPr>
      <w:color w:val="auto"/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2E5B1C"/>
    <w:rPr>
      <w:rFonts w:cs="Times New Roman"/>
      <w:lang w:val="ru-RU" w:eastAsia="ru-RU" w:bidi="ar-SA"/>
    </w:rPr>
  </w:style>
  <w:style w:type="paragraph" w:customStyle="1" w:styleId="afd">
    <w:name w:val="титут"/>
    <w:autoRedefine/>
    <w:uiPriority w:val="99"/>
    <w:rsid w:val="002E5B1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4854</Words>
  <Characters>27671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OK</Company>
  <LinksUpToDate>false</LinksUpToDate>
  <CharactersWithSpaces>32461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Botanic</dc:creator>
  <cp:keywords/>
  <dc:description/>
  <cp:lastModifiedBy>admin</cp:lastModifiedBy>
  <cp:revision>2</cp:revision>
  <dcterms:created xsi:type="dcterms:W3CDTF">2014-03-24T08:57:00Z</dcterms:created>
  <dcterms:modified xsi:type="dcterms:W3CDTF">2014-03-24T08:57:00Z</dcterms:modified>
</cp:coreProperties>
</file>