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79" w:rsidRPr="004B21E2" w:rsidRDefault="00413579" w:rsidP="00413579">
      <w:pPr>
        <w:spacing w:before="120"/>
        <w:jc w:val="center"/>
        <w:rPr>
          <w:b/>
          <w:bCs/>
          <w:sz w:val="32"/>
          <w:szCs w:val="32"/>
        </w:rPr>
      </w:pPr>
      <w:r w:rsidRPr="004B21E2">
        <w:rPr>
          <w:b/>
          <w:bCs/>
          <w:sz w:val="32"/>
          <w:szCs w:val="32"/>
        </w:rPr>
        <w:t>Состояние и перспективы развития производства кокса и пека из нефтяного сырья</w:t>
      </w:r>
    </w:p>
    <w:p w:rsidR="00413579" w:rsidRPr="004B21E2" w:rsidRDefault="00413579" w:rsidP="00413579">
      <w:pPr>
        <w:spacing w:before="120"/>
        <w:jc w:val="center"/>
        <w:rPr>
          <w:sz w:val="28"/>
          <w:szCs w:val="28"/>
        </w:rPr>
      </w:pPr>
      <w:r w:rsidRPr="004B21E2">
        <w:rPr>
          <w:sz w:val="28"/>
          <w:szCs w:val="28"/>
        </w:rPr>
        <w:t>И. Р. Хайрудинов, М. М. Ахметов, Э. Г. Теляшев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последние годы достаточно регулярно состояние коксового производства в России обсуждается на отраслевых совещаниях и конференциях специалистов нефтеперерабатывающей, алюминиевой и электродной промышленности [1, 2]. Поэтому статистические данные, приводимые различными аналитиками, известны широкому кругу специалистов как нефтеперерабатывающей, так и других отраслей.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частности, по данным на начало 2002 г. специалистами Минэнерго РФ отмечалось, что при объеме переработки 5,2 млн. т нефтяного сырья производится 984 тыс. т нефтяных коксов и в перспективе к 2005 г. ожидалось достижение уровня выработки кокса 1080 тыс. т/год. Анализ, выполненный в нашем институте, показывает, что уже в 2004 г. отмеченный уровень выработки кокса был перекрыт и для этого потребовалось переработать менее 4 млн. т сырья коксования.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На сегодня в России эксплуатируется восемь установок замедленного коксования различной мощности,</w:t>
      </w:r>
      <w:r>
        <w:t xml:space="preserve"> </w:t>
      </w:r>
      <w:r w:rsidRPr="00B22AA7">
        <w:t>суммарная их загрузка сырьем в 2004 г. составила 3906 тыс. т (табл. 1), производство кокса было доведено до 1089 тыс. т, средний выход кокса по заводам составил 27,9%(масс.).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настоящее время производство нефтяных коксов на предприятиях России характеризуется следующими особенностями.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Повсеместно на НПЗ отмечается значительное утяжеление сырья коксования. Заводы отрасли провели</w:t>
      </w:r>
      <w:r>
        <w:t xml:space="preserve"> </w:t>
      </w:r>
      <w:r w:rsidRPr="00B22AA7">
        <w:t>модернизацию</w:t>
      </w:r>
      <w:r>
        <w:t xml:space="preserve"> </w:t>
      </w:r>
      <w:r w:rsidRPr="00B22AA7">
        <w:t>вакуумных</w:t>
      </w:r>
      <w:r>
        <w:t xml:space="preserve"> </w:t>
      </w:r>
      <w:r w:rsidRPr="00B22AA7">
        <w:t>блоков</w:t>
      </w:r>
      <w:r>
        <w:t xml:space="preserve"> </w:t>
      </w:r>
      <w:r w:rsidRPr="00B22AA7">
        <w:t>на установках АВТ, в результате этого в их балансе накапливаются значительные</w:t>
      </w:r>
      <w:r>
        <w:t xml:space="preserve"> </w:t>
      </w:r>
      <w:r w:rsidRPr="00B22AA7">
        <w:t>объемы</w:t>
      </w:r>
      <w:r>
        <w:t xml:space="preserve"> </w:t>
      </w:r>
      <w:r w:rsidRPr="00B22AA7">
        <w:t>тяжелых</w:t>
      </w:r>
      <w:r>
        <w:t xml:space="preserve"> </w:t>
      </w:r>
      <w:r w:rsidRPr="00B22AA7">
        <w:t>гудронов</w:t>
      </w:r>
      <w:r>
        <w:t xml:space="preserve"> </w:t>
      </w:r>
      <w:r w:rsidRPr="00B22AA7">
        <w:t>с</w:t>
      </w:r>
      <w:r>
        <w:t xml:space="preserve"> </w:t>
      </w:r>
      <w:r w:rsidRPr="00B22AA7">
        <w:t>высокой плотностью и коксуемостью.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Появился рынок сбыта продукции вторичных каталитических процессов (отходов масляного и топливного производства) — экстрактов селективной очистки, тяжелых газойлей. Они уже не подвергаются термическому крекингу для получения на их основе более низкосернистого крекинг-остатка — желательной добавки к сырью процесса замедленного коксования.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1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Показатели переработки сырья коксования на нефтеперерабатывающих заводах России за 2004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5"/>
        <w:gridCol w:w="1498"/>
        <w:gridCol w:w="1843"/>
        <w:gridCol w:w="1949"/>
        <w:gridCol w:w="1757"/>
      </w:tblGrid>
      <w:tr w:rsidR="00413579" w:rsidRPr="00B22AA7" w:rsidTr="00F96565">
        <w:trPr>
          <w:trHeight w:val="672"/>
        </w:trPr>
        <w:tc>
          <w:tcPr>
            <w:tcW w:w="2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Нефтеперерабатывающие предприятия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Тип установки замедленного коксования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Объем переработки сырья, тыс. т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Объем производства кокса, тыс. т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Выход кокса от сырья, % масс.</w:t>
            </w:r>
          </w:p>
        </w:tc>
      </w:tr>
      <w:tr w:rsidR="00413579" w:rsidRPr="00B22AA7" w:rsidTr="00F96565">
        <w:trPr>
          <w:trHeight w:val="653"/>
        </w:trPr>
        <w:tc>
          <w:tcPr>
            <w:tcW w:w="29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ООО «ЛУКОЙЛ — Волгограднеф-тепереработка»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21-10/300 21-10/600 21-10/7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259,3 481,9 236,7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66,7</w:t>
            </w:r>
          </w:p>
          <w:p w:rsidR="00413579" w:rsidRPr="00B22AA7" w:rsidRDefault="00413579" w:rsidP="00F96565">
            <w:r w:rsidRPr="00B22AA7">
              <w:t>127,7 62,6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25,7 26,5 26,4</w:t>
            </w:r>
          </w:p>
        </w:tc>
      </w:tr>
      <w:tr w:rsidR="00413579" w:rsidRPr="00B22AA7" w:rsidTr="00F96565">
        <w:trPr>
          <w:trHeight w:val="25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ООО «ЛУКОЙЛ-Пермьнефтеорг-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21-10/ЗМ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921,4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236,8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25,7</w:t>
            </w:r>
          </w:p>
        </w:tc>
      </w:tr>
      <w:tr w:rsidR="00413579" w:rsidRPr="00B22AA7" w:rsidTr="00F96565">
        <w:trPr>
          <w:trHeight w:val="19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синтез»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</w:tr>
      <w:tr w:rsidR="00413579" w:rsidRPr="00B22AA7" w:rsidTr="00F96565">
        <w:trPr>
          <w:trHeight w:val="269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«Ангарская нефтехимиче-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21-10/ЗМ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537,4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148,4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27,6</w:t>
            </w:r>
          </w:p>
        </w:tc>
      </w:tr>
      <w:tr w:rsidR="00413579" w:rsidRPr="00B22AA7" w:rsidTr="00F96565">
        <w:trPr>
          <w:trHeight w:val="19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ская компания»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/>
        </w:tc>
      </w:tr>
      <w:tr w:rsidR="00413579" w:rsidRPr="00B22AA7" w:rsidTr="00F96565">
        <w:trPr>
          <w:trHeight w:val="27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«Сибнефть-Омский НПЗ»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21-10/ЗМ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616,1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174,3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28,3</w:t>
            </w:r>
          </w:p>
        </w:tc>
      </w:tr>
      <w:tr w:rsidR="00413579" w:rsidRPr="00B22AA7" w:rsidTr="00F96565">
        <w:trPr>
          <w:trHeight w:val="269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«Ново-Уфимский НПЗ»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415,5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136,5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32,9</w:t>
            </w:r>
          </w:p>
        </w:tc>
      </w:tr>
      <w:tr w:rsidR="00413579" w:rsidRPr="00B22AA7" w:rsidTr="00F96565">
        <w:trPr>
          <w:trHeight w:val="269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«Новокуйбышевский НПЗ»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21-10/5К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437,8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136,0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31,1</w:t>
            </w:r>
          </w:p>
        </w:tc>
      </w:tr>
      <w:tr w:rsidR="00413579" w:rsidRPr="00B22AA7" w:rsidTr="00F96565">
        <w:trPr>
          <w:trHeight w:val="288"/>
        </w:trPr>
        <w:tc>
          <w:tcPr>
            <w:tcW w:w="29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/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3906,0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1089,0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27,9</w:t>
            </w:r>
          </w:p>
        </w:tc>
      </w:tr>
    </w:tbl>
    <w:p w:rsidR="00413579" w:rsidRPr="004B21E2" w:rsidRDefault="00413579" w:rsidP="00413579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Сырье для получения кокса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Рассмотрим специфику обеспечения коксовых установок сырьем.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Сырьем коксования на заводах Новокуйбышевска и Перми являются сернистые гудроны. С 2005 г. ООО «ЛУКОЙЛ-Пермьнефтеоргсинтез» перестал вовлекать в сырье коксования как добавку к гудрону дистиллят-ный крекинг-остаток. На Омском НПЗ в качестве сырья при коксовании используются гудрон, газойль каталитического крекинга и тяжелый газойль. На установках коксования ООО «ЛУКОЙЛ-ВНП» традиционно в качестве сырья используется смесь гудрона, асфальта, экстракта «Дуасол» и дистиллятного крекинг-остатка (ДКО). На ОАО «АНХК» коксованию подвергают смесь гудрона со смолой пиролиза, иногда в нее добавляют газойль каталитического крекинга. На ОАО «НУНПЗ» в коксование вовлекаются гудрон, асфальт, тяжелый газойль каталитического крекинга, дистиллятный и остаточный крекинг-остатки.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Основные показатели работы коксовых установок в России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табл. 2 представлены усредненные годовые материальные балансы коксовых установок России. Основная задача, решаемая сегодня на заводах, — это утилизация значительных ресурсов тяжелых гудронов. При этом отмечается невысокий выход светлых дистиллятов (бензин, легкий газойль) и высокий выход</w:t>
      </w:r>
      <w:r>
        <w:t xml:space="preserve"> </w:t>
      </w:r>
      <w:r w:rsidRPr="00B22AA7">
        <w:t>тяжелого газойля, используемого чаще всего как котельное топливо.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табл. 3 приведены данные по содержанию серы и ванадия в нефтяных коксах различных производителей.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На сегодня отечественного производства нефтяных коксов с содержанием серы в пределах 0,5—1,0% не существует. Из общего баланса производимого кокса только около половины содержит менее 1,5% серы. Низкосернистый кокс имеет также пониженное содержание ванадия и используется в алюминиевой промышленности, и только небольшая его часть может быть вовлечена в электродное производство как «подшихтовка» к малосернистым коксам, например, пековым. Основная масса кокса с содержанием серы от 2,0 до 2,8% не пригодна для электродной и малопригодна для алюминиевой промышленности.</w:t>
      </w:r>
    </w:p>
    <w:p w:rsidR="00413579" w:rsidRPr="004B21E2" w:rsidRDefault="00413579" w:rsidP="00413579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Перспективы развития производства кокса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Перспективные технические решения для создания отечественных производств электродных коксов, разработаны в ГУП «Институт нефтехимпереработки РБ». Они предусматривают подготовку малосернистого сырья коксования за счет вовлечения остатков процессов нефтехимии и альтернативных источников сырья; строительство новой крупнотоннажной установки замедленного коксования на Комсомольском НПЗ; организацию коксового производства на малотоннажных коксовых установках из прямогонных мазутов малосернистых нефтей.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2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Материальные балансы коксования*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1632"/>
        <w:gridCol w:w="1008"/>
        <w:gridCol w:w="1085"/>
        <w:gridCol w:w="912"/>
        <w:gridCol w:w="1027"/>
        <w:gridCol w:w="2150"/>
      </w:tblGrid>
      <w:tr w:rsidR="00413579" w:rsidRPr="00B22AA7" w:rsidTr="00F96565">
        <w:trPr>
          <w:trHeight w:val="298"/>
        </w:trPr>
        <w:tc>
          <w:tcPr>
            <w:tcW w:w="208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Продукты коксования</w:t>
            </w:r>
          </w:p>
        </w:tc>
        <w:tc>
          <w:tcPr>
            <w:tcW w:w="781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Нефтеперерабатывающие заводы в городах</w:t>
            </w:r>
          </w:p>
        </w:tc>
      </w:tr>
      <w:tr w:rsidR="00413579" w:rsidRPr="00B22AA7" w:rsidTr="00F96565">
        <w:trPr>
          <w:trHeight w:val="278"/>
        </w:trPr>
        <w:tc>
          <w:tcPr>
            <w:tcW w:w="208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/>
          <w:p w:rsidR="00413579" w:rsidRPr="00B22AA7" w:rsidRDefault="00413579" w:rsidP="00F96565"/>
        </w:tc>
        <w:tc>
          <w:tcPr>
            <w:tcW w:w="1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Волгоград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Пермь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Ангарск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Омск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Уфа</w:t>
            </w:r>
          </w:p>
        </w:tc>
        <w:tc>
          <w:tcPr>
            <w:tcW w:w="2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Новокуйбышевск</w:t>
            </w:r>
          </w:p>
        </w:tc>
      </w:tr>
      <w:tr w:rsidR="00413579" w:rsidRPr="00B22AA7" w:rsidTr="00F96565">
        <w:trPr>
          <w:trHeight w:val="278"/>
        </w:trPr>
        <w:tc>
          <w:tcPr>
            <w:tcW w:w="20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Газы</w:t>
            </w:r>
          </w:p>
        </w:tc>
        <w:tc>
          <w:tcPr>
            <w:tcW w:w="16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10,7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8,7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12,5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8,3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8,0</w:t>
            </w:r>
          </w:p>
        </w:tc>
        <w:tc>
          <w:tcPr>
            <w:tcW w:w="2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11,4</w:t>
            </w:r>
          </w:p>
        </w:tc>
      </w:tr>
      <w:tr w:rsidR="00413579" w:rsidRPr="00B22AA7" w:rsidTr="00F96565">
        <w:trPr>
          <w:trHeight w:val="278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Бензин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11,7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16,3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15,0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8,6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3,8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10,2</w:t>
            </w:r>
          </w:p>
        </w:tc>
      </w:tr>
      <w:tr w:rsidR="00413579" w:rsidRPr="00B22AA7" w:rsidTr="00F96565">
        <w:trPr>
          <w:trHeight w:val="259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Легкий газойль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30,7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22,9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27,2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18,3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19,3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31,1</w:t>
            </w:r>
          </w:p>
        </w:tc>
      </w:tr>
      <w:tr w:rsidR="00413579" w:rsidRPr="00B22AA7" w:rsidTr="00F96565">
        <w:trPr>
          <w:trHeight w:val="269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Тяжелый газойль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19,9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25,5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16,3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34,1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35,0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14,6</w:t>
            </w:r>
          </w:p>
        </w:tc>
      </w:tr>
      <w:tr w:rsidR="00413579" w:rsidRPr="00B22AA7" w:rsidTr="00F96565">
        <w:trPr>
          <w:trHeight w:val="269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Кокс суммарный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26,3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25,7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26,8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28,3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32,9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31,1</w:t>
            </w:r>
          </w:p>
        </w:tc>
      </w:tr>
      <w:tr w:rsidR="00413579" w:rsidRPr="00B22AA7" w:rsidTr="00F96565">
        <w:trPr>
          <w:trHeight w:val="278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Потери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1,6</w:t>
            </w:r>
          </w:p>
        </w:tc>
      </w:tr>
      <w:tr w:rsidR="00413579" w:rsidRPr="00B22AA7" w:rsidTr="00F96565">
        <w:trPr>
          <w:trHeight w:val="278"/>
        </w:trPr>
        <w:tc>
          <w:tcPr>
            <w:tcW w:w="20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100,0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Выходы продуктов указаны в массовых единицах на 100 массовых единиц исходного сырья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Показатели качества нефтяных коксов, произведенных в России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3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6"/>
        <w:gridCol w:w="3149"/>
        <w:gridCol w:w="1210"/>
      </w:tblGrid>
      <w:tr w:rsidR="00413579" w:rsidRPr="00B22AA7" w:rsidTr="00F96565">
        <w:trPr>
          <w:trHeight w:val="288"/>
        </w:trPr>
        <w:tc>
          <w:tcPr>
            <w:tcW w:w="513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Предприятие</w:t>
            </w:r>
          </w:p>
        </w:tc>
        <w:tc>
          <w:tcPr>
            <w:tcW w:w="31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Массовая доля,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%</w:t>
            </w:r>
          </w:p>
        </w:tc>
      </w:tr>
      <w:tr w:rsidR="00413579" w:rsidRPr="00B22AA7" w:rsidTr="00F96565">
        <w:trPr>
          <w:trHeight w:val="278"/>
        </w:trPr>
        <w:tc>
          <w:tcPr>
            <w:tcW w:w="513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/>
          <w:p w:rsidR="00413579" w:rsidRPr="00B22AA7" w:rsidRDefault="00413579" w:rsidP="00F96565"/>
        </w:tc>
        <w:tc>
          <w:tcPr>
            <w:tcW w:w="31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серы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ванадия</w:t>
            </w:r>
          </w:p>
        </w:tc>
      </w:tr>
      <w:tr w:rsidR="00413579" w:rsidRPr="00B22AA7" w:rsidTr="00F96565">
        <w:trPr>
          <w:trHeight w:val="278"/>
        </w:trPr>
        <w:tc>
          <w:tcPr>
            <w:tcW w:w="51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ООО «ЛУКОЙЛ-Волгограднефтепереработка»</w:t>
            </w:r>
          </w:p>
        </w:tc>
        <w:tc>
          <w:tcPr>
            <w:tcW w:w="31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1,47-1,48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0,015</w:t>
            </w:r>
          </w:p>
        </w:tc>
      </w:tr>
      <w:tr w:rsidR="00413579" w:rsidRPr="00B22AA7" w:rsidTr="00F96565">
        <w:trPr>
          <w:trHeight w:val="269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ООО «ЛУКОЙЛ-Пермьнефтеоргсинтез»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2,60-2,70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до 0,025</w:t>
            </w:r>
          </w:p>
        </w:tc>
      </w:tr>
      <w:tr w:rsidR="00413579" w:rsidRPr="00B22AA7" w:rsidTr="00F96565">
        <w:trPr>
          <w:trHeight w:val="269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«Ангарская нефтехимическая компания»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1,45-1,50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0,015</w:t>
            </w:r>
          </w:p>
        </w:tc>
      </w:tr>
      <w:tr w:rsidR="00413579" w:rsidRPr="00B22AA7" w:rsidTr="00F96565">
        <w:trPr>
          <w:trHeight w:val="269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«Сибнефть-Омский НПЗ»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1,45-1,50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0,015</w:t>
            </w:r>
          </w:p>
        </w:tc>
      </w:tr>
      <w:tr w:rsidR="00413579" w:rsidRPr="00B22AA7" w:rsidTr="00F96565">
        <w:trPr>
          <w:trHeight w:val="269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ОАО «Ново-Уфимский НПЗ»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2,00-2,50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до 0,030</w:t>
            </w:r>
          </w:p>
        </w:tc>
      </w:tr>
      <w:tr w:rsidR="00413579" w:rsidRPr="00B22AA7" w:rsidTr="00F96565">
        <w:trPr>
          <w:trHeight w:val="288"/>
        </w:trPr>
        <w:tc>
          <w:tcPr>
            <w:tcW w:w="51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ОАО «Новокуйбышевский НПЗ»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до 0,040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Состав сырья и качество получаемых коксов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1421"/>
        <w:gridCol w:w="1862"/>
        <w:gridCol w:w="2486"/>
      </w:tblGrid>
      <w:tr w:rsidR="00413579" w:rsidRPr="00B22AA7" w:rsidTr="00F96565">
        <w:trPr>
          <w:trHeight w:val="365"/>
        </w:trPr>
        <w:tc>
          <w:tcPr>
            <w:tcW w:w="3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Показатели</w:t>
            </w:r>
          </w:p>
        </w:tc>
        <w:tc>
          <w:tcPr>
            <w:tcW w:w="57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Смесь малосернистого ДКО и смолы</w:t>
            </w:r>
            <w:r>
              <w:t xml:space="preserve"> </w:t>
            </w:r>
            <w:r w:rsidRPr="00B22AA7">
              <w:t>Смесь сернистого ДКО и смолы</w:t>
            </w:r>
          </w:p>
        </w:tc>
      </w:tr>
      <w:tr w:rsidR="00413579" w:rsidRPr="00B22AA7" w:rsidTr="00F96565">
        <w:trPr>
          <w:trHeight w:val="365"/>
        </w:trPr>
        <w:tc>
          <w:tcPr>
            <w:tcW w:w="3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/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I образец</w:t>
            </w:r>
          </w:p>
        </w:tc>
        <w:tc>
          <w:tcPr>
            <w:tcW w:w="18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II образец</w:t>
            </w:r>
          </w:p>
        </w:tc>
        <w:tc>
          <w:tcPr>
            <w:tcW w:w="24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III образец</w:t>
            </w:r>
          </w:p>
        </w:tc>
      </w:tr>
      <w:tr w:rsidR="00413579" w:rsidRPr="00B22AA7" w:rsidTr="00F96565">
        <w:trPr>
          <w:trHeight w:val="317"/>
        </w:trPr>
        <w:tc>
          <w:tcPr>
            <w:tcW w:w="3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летучих веществ, %(масс.)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4,6</w:t>
            </w:r>
          </w:p>
        </w:tc>
        <w:tc>
          <w:tcPr>
            <w:tcW w:w="18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4,1</w:t>
            </w:r>
          </w:p>
        </w:tc>
        <w:tc>
          <w:tcPr>
            <w:tcW w:w="24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3,9</w:t>
            </w:r>
          </w:p>
        </w:tc>
      </w:tr>
      <w:tr w:rsidR="00413579" w:rsidRPr="00B22AA7" w:rsidTr="00F96565">
        <w:trPr>
          <w:trHeight w:val="278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серы, %(масс.)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0,32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0,34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0,43</w:t>
            </w:r>
          </w:p>
        </w:tc>
      </w:tr>
      <w:tr w:rsidR="00413579" w:rsidRPr="00B22AA7" w:rsidTr="00F96565">
        <w:trPr>
          <w:trHeight w:val="298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Действительная плотность, кг/м3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2130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2120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2116</w:t>
            </w:r>
          </w:p>
        </w:tc>
      </w:tr>
      <w:tr w:rsidR="00413579" w:rsidRPr="00B22AA7" w:rsidTr="00F96565">
        <w:trPr>
          <w:trHeight w:val="288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Микроструктура, баллы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5,1</w:t>
            </w:r>
          </w:p>
        </w:tc>
      </w:tr>
      <w:tr w:rsidR="00413579" w:rsidRPr="00B22AA7" w:rsidTr="00F96565">
        <w:trPr>
          <w:trHeight w:val="288"/>
        </w:trPr>
        <w:tc>
          <w:tcPr>
            <w:tcW w:w="3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Выход кокса на сырьевую смесь, %(масс.)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29,5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29,6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31,0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Рассмотрим эти предложения более подробно. Специалистами Института проведены пилотные испытания процесса коксования смесей смолы пиролиза этиленового производства и дистиллятного крекинг-остатка (ДКО). В результате подбора состава сырья определены пределы изменения качества получаемых коксов (табл. 4) и найдены условия получения вполне качественного игольчатого кокса.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По результатам этих исследований еще в 2004 г. ГУП «Институт нефтехимпереработки РБ» подготовлены и переданы предложения по реализации такого процесса коксования на Волгоградском НПЗ.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Нефтяная компания «Лукойл» располагает значительными ресурсами смолы пиролиза, которые могут быть переданы Волгоградскому НПЗ по внутренним связям компании. Нужна заинтересованность самой компании в организации отечественного производства игольчатого кокса с указанными в табл. 4 показателями качества.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К сожалению, складывающаяся в России ценовая политика по сырью для производства сажи может помешать реализации этой технологии.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Еще в 1995 г. по договору с Братским алюминиевым заводом ГУП «Институт нефтехимпереработки РБ» разработал технологический регламент для проектирования установки замедленного коксования с привязкой к Комсомольскому НПЗ. Исследования показали, что при существующем сырьевом обеспечении завода есть возможность производства малосернистого кокса из гудрона (табл. 5).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2001 г. нефтяная компания «Роснефть» организовала проведение тендера по выбору исполнителя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5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Выход и качество кокса из гудрона ОАО «Комсомольский НПЗ»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0"/>
        <w:gridCol w:w="1565"/>
      </w:tblGrid>
      <w:tr w:rsidR="00413579" w:rsidRPr="00B22AA7" w:rsidTr="00F96565">
        <w:trPr>
          <w:trHeight w:val="317"/>
        </w:trPr>
        <w:tc>
          <w:tcPr>
            <w:tcW w:w="31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Показатели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Значения</w:t>
            </w:r>
          </w:p>
        </w:tc>
      </w:tr>
      <w:tr w:rsidR="00413579" w:rsidRPr="00B22AA7" w:rsidTr="00F96565">
        <w:trPr>
          <w:trHeight w:val="288"/>
        </w:trPr>
        <w:tc>
          <w:tcPr>
            <w:tcW w:w="31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летучих веществ, %(масс.)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5,5</w:t>
            </w:r>
          </w:p>
        </w:tc>
      </w:tr>
      <w:tr w:rsidR="00413579" w:rsidRPr="00B22AA7" w:rsidTr="00F96565">
        <w:trPr>
          <w:trHeight w:val="269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серы, %(масс.)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0,69</w:t>
            </w:r>
          </w:p>
        </w:tc>
      </w:tr>
      <w:tr w:rsidR="00413579" w:rsidRPr="00B22AA7" w:rsidTr="00F96565">
        <w:trPr>
          <w:trHeight w:val="298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золы, %(масс.)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0,11</w:t>
            </w:r>
          </w:p>
        </w:tc>
      </w:tr>
      <w:tr w:rsidR="00413579" w:rsidRPr="00B22AA7" w:rsidTr="00F96565">
        <w:trPr>
          <w:trHeight w:val="274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Действительная плотность, кг/м3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2093</w:t>
            </w:r>
          </w:p>
        </w:tc>
      </w:tr>
      <w:tr w:rsidR="00413579" w:rsidRPr="00B22AA7" w:rsidTr="00F96565">
        <w:trPr>
          <w:trHeight w:val="302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на сырье, %(масс.)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22,0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проекта строительства на Комсомольском НПЗ коксовой установки мощностью 1 млн. т/год по сырью. Но, к сожалению, решение данного вопроса было перенесено на более поздние сроки.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2003 г. Институтом был разработан технологический регламент для проектирования установки коксования каменноугольной смолы, включающий стадию экстракции исходной смолы и последующую стадию коксования экстракта. Такое техническое решение позволяет с этой установки выводить в виде рафината каменноугольный пек, а в виде продукта коксования — малосернистый кокс (табл. 6).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6 Выход и качество кокса из каменноугольной смолы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1430"/>
      </w:tblGrid>
      <w:tr w:rsidR="00413579" w:rsidRPr="00B22AA7" w:rsidTr="00F96565">
        <w:trPr>
          <w:trHeight w:val="298"/>
        </w:trPr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Показатели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Значения</w:t>
            </w:r>
          </w:p>
        </w:tc>
      </w:tr>
      <w:tr w:rsidR="00413579" w:rsidRPr="00B22AA7" w:rsidTr="00F96565">
        <w:trPr>
          <w:trHeight w:val="278"/>
        </w:trPr>
        <w:tc>
          <w:tcPr>
            <w:tcW w:w="3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летучих веществ, %(масс.)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1,7</w:t>
            </w:r>
          </w:p>
        </w:tc>
      </w:tr>
      <w:tr w:rsidR="00413579" w:rsidRPr="00B22AA7" w:rsidTr="00F96565">
        <w:trPr>
          <w:trHeight w:val="26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серы, %(масс.)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0,26</w:t>
            </w:r>
          </w:p>
        </w:tc>
      </w:tr>
      <w:tr w:rsidR="00413579" w:rsidRPr="00B22AA7" w:rsidTr="00F96565">
        <w:trPr>
          <w:trHeight w:val="25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золы, %(масс.)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0,18</w:t>
            </w:r>
          </w:p>
        </w:tc>
      </w:tr>
      <w:tr w:rsidR="00413579" w:rsidRPr="00B22AA7" w:rsidTr="00F96565">
        <w:trPr>
          <w:trHeight w:val="27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Действительная плотность, кг/м3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2130</w:t>
            </w:r>
          </w:p>
        </w:tc>
      </w:tr>
      <w:tr w:rsidR="00413579" w:rsidRPr="00B22AA7" w:rsidTr="00F96565">
        <w:trPr>
          <w:trHeight w:val="26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Микроструктура, баллы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5,2-5,4</w:t>
            </w:r>
          </w:p>
        </w:tc>
      </w:tr>
      <w:tr w:rsidR="00413579" w:rsidRPr="00B22AA7" w:rsidTr="00F96565">
        <w:trPr>
          <w:trHeight w:val="26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кокса на сырье, %(масс.)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14,8</w:t>
            </w:r>
          </w:p>
        </w:tc>
      </w:tr>
      <w:tr w:rsidR="00413579" w:rsidRPr="00B22AA7" w:rsidTr="00F96565">
        <w:trPr>
          <w:trHeight w:val="250"/>
        </w:trPr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Выход пека на сырье, %(масс.)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19,6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Данный проект был разработан применительно к сырьевой базе ОАО «Алтай-кокс» и пока находится в стадии рассмотрения у заказчика. Его отличительной особенностью является комплектование установки малогабаритными аппаратами. Полагаем, что для выпуска коксов специального назначения целесообразно, исходя из потребности в них, строительство именно установок малой мощности 100—150 тыс. т по сырью.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настоящее время в Сибирском регионе на сред-нетоннажных установках AT перерабатывают нефти с содержанием серы 0,2—0,3%, а мазуты, содержащие 0,4—0,6% серы, возвращают в нефтепровод, смешивая с нефтью. Надо рассмотреть и эти сырьевые возможности для получения малосернистого нефтяного кокса. В этой связи могут появиться новые перспективы. Институт готов при заинтересованности со стороны потенциальных заказчиков проработать технологические вопросы.</w:t>
      </w:r>
    </w:p>
    <w:p w:rsidR="00413579" w:rsidRPr="004B21E2" w:rsidRDefault="00413579" w:rsidP="00413579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Производство нефтяного пека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Электродная промышленность России потребляет значительные количества пеков каменноугольного происхождения. Известно, что каменноугольные пеки отличаются низким содержанием серы, но высоким содержанием канцерогенов, в частности от 1 до 4% бензпиренов. Поэтому в мировой практике известны попытки перевода предприятий отрасли на использование нефтяных пеков.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Положительный опыт их применения имеется в США, Канаде. В 1988—89 гг. на предприятиях Днепропетровский электродный завод и Иркутский алюминиевый завод были приняты промышленные партии нефтяных пеков фирмы «Ашланд петролеум» с температурой размягчения 65 °С и 105 °С. Их испытания прошли с положительными результатами [3].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1991 г. специалистами ГУП «Институт нефте-химпереработки РБ» была реализована на ОАО «НУНПЗ» в опытно-промышленных масштабах технология производства нефтяного пека из крекингового сырья. Годовая выработка пека достигала 20 тыс. т. Практически весь этот пек в течение 6 лет забирал Братский алюминиевый завод. Промышленные партии этого пека испытывали на Саянском алюминиевом и Новосибирском электродном заводах, Челябинском электрометаллургическом комбинате. В целом, потребители признали целесообразность применения нефтяного пека в смеси с каменноугольным [3]. Характеристика нефтяного пека дана в табл. 7.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7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Качество нефтяного пека ОАО «НУНПЗ»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1094"/>
        <w:gridCol w:w="1181"/>
      </w:tblGrid>
      <w:tr w:rsidR="00413579" w:rsidRPr="00B22AA7" w:rsidTr="00F96565">
        <w:trPr>
          <w:trHeight w:val="230"/>
        </w:trPr>
        <w:tc>
          <w:tcPr>
            <w:tcW w:w="29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Показатели качества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Марка А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Марка Б</w:t>
            </w:r>
          </w:p>
        </w:tc>
      </w:tr>
      <w:tr w:rsidR="00413579" w:rsidRPr="00B22AA7" w:rsidTr="00F96565">
        <w:trPr>
          <w:trHeight w:val="288"/>
        </w:trPr>
        <w:tc>
          <w:tcPr>
            <w:tcW w:w="29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Температура размягчения, °С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60-70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70-80</w:t>
            </w:r>
          </w:p>
        </w:tc>
      </w:tr>
      <w:tr w:rsidR="00413579" w:rsidRPr="00B22AA7" w:rsidTr="00F96565">
        <w:trPr>
          <w:trHeight w:val="269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серы, %(масс.)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2,0-2,5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2,0-2,5</w:t>
            </w:r>
          </w:p>
        </w:tc>
      </w:tr>
      <w:tr w:rsidR="00413579" w:rsidRPr="00B22AA7" w:rsidTr="00F96565">
        <w:trPr>
          <w:trHeight w:val="269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летучих веществ, %(масс.)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68</w:t>
            </w:r>
          </w:p>
        </w:tc>
      </w:tr>
      <w:tr w:rsidR="00413579" w:rsidRPr="00B22AA7" w:rsidTr="00F96565">
        <w:trPr>
          <w:trHeight w:val="278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а-фракций, %(масс.)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2,0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3,0</w:t>
            </w:r>
          </w:p>
        </w:tc>
      </w:tr>
      <w:tr w:rsidR="00413579" w:rsidRPr="00B22AA7" w:rsidTr="00F96565">
        <w:trPr>
          <w:trHeight w:val="240"/>
        </w:trPr>
        <w:tc>
          <w:tcPr>
            <w:tcW w:w="2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Содержание золы, %(масс.)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0,3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В 1997 г. в связи с изменением сырьевых потоков ОАО «НУНПЗ» прекратил выпуск такого пека.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Применение нефтяных пеков с очень низкой кан-церогенностью (содержание 3,4-бензпирена до 0,15%)</w:t>
      </w:r>
      <w:r>
        <w:t xml:space="preserve"> </w:t>
      </w:r>
      <w:r w:rsidRPr="00B22AA7">
        <w:t>требует строительства отдельных малогабаритных установок термополиконденсации. В результате термо-поликонденсационной переработки ароматизированных видов сырья, таких как смола пиролиза, дистил-лятный крекинг-остаток, можно получить очень качественные нефтяные пеки (по выходу летучих веществ, содержанию серы и а-фракций).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В пилотных масштабах на опытной базе ГУП «Институт нефтехимпереработки РБ» было отработано много вариантов получения нефтяных пеков и, в частности, из пиролизного и крекингового сырья (табл. 8). По всем пекам (образцы 1—6) нами было получено положительное заключение о целесообразности их применения в электродном производстве в промышленных масштабах. Была разработана техническая документация в виде регламентов на проектирование применительно к условиям ОАО «Салават-нефтеоргсинтез» (образец 4) и ОАО «АНХК» (образцы 5 и 6). Однако данные технологии так и не были реализованы в силу известных обстоятельств, возникших в условиях рыночных отношений.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Резюмируя изложенное выше, отметим, что крупные компании пока не заинтересованы в реализации таких проектов. Очевидно, требуется разработка и государственная поддержка целевой программы по организации отечественного производства нефтяных электродных коксов и нефтяных пеков.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Мы готовы работать и с отдельными партнерами при появлении интереса со стороны потенциальных заказчиков к производству электродных коксов, нефтяных пеков, а также более качественных каменноугольных пеков. Институт располагает солидными заделами по технологиям производства пеко-коксовой продукции как из сырья нефтяного происхождения, так и из каменноугольных смол.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Характеристика пилотных образцов пеков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Таблица 8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1325"/>
        <w:gridCol w:w="797"/>
        <w:gridCol w:w="874"/>
        <w:gridCol w:w="797"/>
        <w:gridCol w:w="710"/>
        <w:gridCol w:w="816"/>
      </w:tblGrid>
      <w:tr w:rsidR="00413579" w:rsidRPr="00B22AA7" w:rsidTr="00F96565">
        <w:trPr>
          <w:trHeight w:val="240"/>
        </w:trPr>
        <w:tc>
          <w:tcPr>
            <w:tcW w:w="3197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Показатели качества</w:t>
            </w:r>
          </w:p>
        </w:tc>
        <w:tc>
          <w:tcPr>
            <w:tcW w:w="53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Номер образца</w:t>
            </w:r>
          </w:p>
        </w:tc>
      </w:tr>
      <w:tr w:rsidR="00413579" w:rsidRPr="00B22AA7" w:rsidTr="00F96565">
        <w:trPr>
          <w:trHeight w:val="278"/>
        </w:trPr>
        <w:tc>
          <w:tcPr>
            <w:tcW w:w="3197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/>
          <w:p w:rsidR="00413579" w:rsidRPr="00B22AA7" w:rsidRDefault="00413579" w:rsidP="00F96565"/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6</w:t>
            </w:r>
          </w:p>
        </w:tc>
      </w:tr>
      <w:tr w:rsidR="00413579" w:rsidRPr="00B22AA7" w:rsidTr="00F96565">
        <w:trPr>
          <w:trHeight w:val="278"/>
        </w:trPr>
        <w:tc>
          <w:tcPr>
            <w:tcW w:w="31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Температура размягчения, °С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80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84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67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ПО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72</w:t>
            </w:r>
          </w:p>
        </w:tc>
      </w:tr>
      <w:tr w:rsidR="00413579" w:rsidRPr="00B22AA7" w:rsidTr="00F96565">
        <w:trPr>
          <w:trHeight w:val="26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серы, 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0,55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0,31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1,28</w:t>
            </w:r>
          </w:p>
        </w:tc>
      </w:tr>
      <w:tr w:rsidR="00413579" w:rsidRPr="00B22AA7" w:rsidTr="00F96565">
        <w:trPr>
          <w:trHeight w:val="26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Выход летучих веществ, 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68,5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61,6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56,4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65,5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59,1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63,1</w:t>
            </w:r>
          </w:p>
        </w:tc>
      </w:tr>
      <w:tr w:rsidR="00413579" w:rsidRPr="00B22AA7" w:rsidTr="00F96565">
        <w:trPr>
          <w:trHeight w:val="27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Содержание а-фракций, 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5,7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20,2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23,9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16,8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28,3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13579" w:rsidRPr="00B22AA7" w:rsidRDefault="00413579" w:rsidP="00F96565">
            <w:r w:rsidRPr="00B22AA7">
              <w:t>19,8</w:t>
            </w:r>
          </w:p>
        </w:tc>
      </w:tr>
      <w:tr w:rsidR="00413579" w:rsidRPr="00B22AA7" w:rsidTr="00F96565">
        <w:trPr>
          <w:trHeight w:val="298"/>
        </w:trPr>
        <w:tc>
          <w:tcPr>
            <w:tcW w:w="31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Содержание а! -фракций, 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следы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следы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3,7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79" w:rsidRPr="00B22AA7" w:rsidRDefault="00413579" w:rsidP="00F96565">
            <w:r w:rsidRPr="00B22AA7">
              <w:t>2,0</w:t>
            </w:r>
          </w:p>
        </w:tc>
      </w:tr>
    </w:tbl>
    <w:p w:rsidR="00413579" w:rsidRPr="00B22AA7" w:rsidRDefault="00413579" w:rsidP="00413579">
      <w:pPr>
        <w:spacing w:before="120"/>
        <w:ind w:firstLine="567"/>
        <w:jc w:val="both"/>
      </w:pPr>
      <w:r w:rsidRPr="00B22AA7">
        <w:t>Примечание. Место испытаний — опытные базы отраслевых институтов: НИИ Графит — 1, 2, 3 образцы; ГОС НИИ ЭП - 4; Сиб ВАМИ - 5, 6.</w:t>
      </w:r>
    </w:p>
    <w:p w:rsidR="00413579" w:rsidRPr="004B21E2" w:rsidRDefault="00413579" w:rsidP="00413579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Список литературы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Сборник докладов Межотраслевой конференции «Нефтеперерабатывающая</w:t>
      </w:r>
      <w:r>
        <w:t xml:space="preserve"> </w:t>
      </w:r>
      <w:r w:rsidRPr="00B22AA7">
        <w:t>и</w:t>
      </w:r>
      <w:r>
        <w:t xml:space="preserve"> </w:t>
      </w:r>
      <w:r w:rsidRPr="00B22AA7">
        <w:t>алюминиевая</w:t>
      </w:r>
      <w:r>
        <w:t xml:space="preserve"> </w:t>
      </w:r>
      <w:r w:rsidRPr="00B22AA7">
        <w:t>промышленности</w:t>
      </w:r>
      <w:r>
        <w:t xml:space="preserve"> </w:t>
      </w:r>
      <w:r w:rsidRPr="00B22AA7">
        <w:t>— развитие сотрудничества, оптимизация связей по поставкам нефтяного кокса». Красноярск, март 2001, 113 с.</w:t>
      </w:r>
    </w:p>
    <w:p w:rsidR="00413579" w:rsidRPr="00B22AA7" w:rsidRDefault="00413579" w:rsidP="00413579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Производство углеродной продукции. Проблемы обеспечения</w:t>
      </w:r>
      <w:r>
        <w:t xml:space="preserve"> </w:t>
      </w:r>
      <w:r w:rsidRPr="00B22AA7">
        <w:t>углеродистым</w:t>
      </w:r>
      <w:r>
        <w:t xml:space="preserve"> </w:t>
      </w:r>
      <w:r w:rsidRPr="00B22AA7">
        <w:t>сырьем.</w:t>
      </w:r>
      <w:r>
        <w:t xml:space="preserve"> </w:t>
      </w:r>
      <w:r w:rsidRPr="00B22AA7">
        <w:t>Сб.</w:t>
      </w:r>
      <w:r>
        <w:t xml:space="preserve"> </w:t>
      </w:r>
      <w:r w:rsidRPr="00B22AA7">
        <w:t>тр.</w:t>
      </w:r>
      <w:r>
        <w:t xml:space="preserve"> </w:t>
      </w:r>
      <w:r w:rsidRPr="00B22AA7">
        <w:t>РХТУ</w:t>
      </w:r>
      <w:r>
        <w:t xml:space="preserve"> </w:t>
      </w:r>
      <w:r w:rsidRPr="00B22AA7">
        <w:t>им. Д.И. Менделеева, 2002, вып. 1, 182 с.</w:t>
      </w:r>
    </w:p>
    <w:p w:rsidR="00413579" w:rsidRDefault="00413579" w:rsidP="00413579">
      <w:pPr>
        <w:spacing w:before="120"/>
        <w:ind w:firstLine="567"/>
        <w:jc w:val="both"/>
      </w:pPr>
      <w:r w:rsidRPr="00B22AA7">
        <w:t>3. Хайрудинов И.Р. и др. Опыт производства и применения нефтяных пеков. Тематический обзор. М.: ЦНИИТЭНеф-техим, 1994, 48 с.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579"/>
    <w:rsid w:val="00095854"/>
    <w:rsid w:val="00413579"/>
    <w:rsid w:val="00475C03"/>
    <w:rsid w:val="004B21E2"/>
    <w:rsid w:val="005051C5"/>
    <w:rsid w:val="006B11B3"/>
    <w:rsid w:val="0089699D"/>
    <w:rsid w:val="00AF0F05"/>
    <w:rsid w:val="00B22AA7"/>
    <w:rsid w:val="00C72500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A82A85-8AF0-4263-BFE2-5C1F7D4E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3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и перспективы развития производства кокса и пека из нефтяного сырья</vt:lpstr>
    </vt:vector>
  </TitlesOfParts>
  <Company>Home</Company>
  <LinksUpToDate>false</LinksUpToDate>
  <CharactersWithSpaces>14206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и перспективы развития производства кокса и пека из нефтяного сырья</dc:title>
  <dc:subject/>
  <dc:creator>User</dc:creator>
  <cp:keywords/>
  <dc:description/>
  <cp:lastModifiedBy>admin</cp:lastModifiedBy>
  <cp:revision>2</cp:revision>
  <dcterms:created xsi:type="dcterms:W3CDTF">2014-02-14T16:38:00Z</dcterms:created>
  <dcterms:modified xsi:type="dcterms:W3CDTF">2014-02-14T16:38:00Z</dcterms:modified>
</cp:coreProperties>
</file>