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5E" w:rsidRDefault="00936622">
      <w:pPr>
        <w:pStyle w:val="1"/>
        <w:jc w:val="center"/>
      </w:pPr>
      <w:r>
        <w:t>Опыт восстановительного лечения детей с конституционально-экзогенным ожирением и метаболическими нарушениями</w:t>
      </w:r>
    </w:p>
    <w:p w:rsidR="0044675E" w:rsidRPr="00936622" w:rsidRDefault="00936622">
      <w:pPr>
        <w:pStyle w:val="a3"/>
      </w:pPr>
      <w:r>
        <w:t> </w:t>
      </w:r>
    </w:p>
    <w:p w:rsidR="0044675E" w:rsidRDefault="00936622">
      <w:pPr>
        <w:pStyle w:val="a3"/>
      </w:pPr>
      <w:r>
        <w:t>А.Б.Ершевская, Е.И.Ройтман, Т.Е.Котова, Н.Д.Задубровская, Л.Н.Погребняк</w:t>
      </w:r>
    </w:p>
    <w:p w:rsidR="0044675E" w:rsidRDefault="00936622">
      <w:pPr>
        <w:pStyle w:val="a3"/>
      </w:pPr>
      <w:r>
        <w:t>Институт медицинского образования НовГУ</w:t>
      </w:r>
    </w:p>
    <w:p w:rsidR="0044675E" w:rsidRDefault="00936622">
      <w:pPr>
        <w:pStyle w:val="a3"/>
      </w:pPr>
      <w:r>
        <w:t>Решение проблемы лечения конституционально-экзогенного ожирения (КЭО) у детей и достижение долгосрочного терапевтического эффекта уже не носят столь актуального характера. В настоящее время, во многих странах практикуется терапевтическое обучение больных по структурированным программам, что обеспечивает высокую эффективность в длительном поддержании достигнутых результатов [1,2].</w:t>
      </w:r>
    </w:p>
    <w:p w:rsidR="0044675E" w:rsidRDefault="00936622">
      <w:pPr>
        <w:pStyle w:val="a3"/>
      </w:pPr>
      <w:r>
        <w:t>В Великом Новгороде с 2006 г. в практическое здравоохранение внедрена санаторная реабилитационная программа «Школа ребенка с лишним весом», представляющая собой комплексный процесс восстановительного лечения детей и подростков с КЭО. В общей сложности обучение по данной программе прошли 80 пациентов с КЭО I-III степени в возрасте от 9 до 16 лет. Отмечен положительный долгосрочный терапевтический эффект более чем у 50% пролеченных детей. Лечебно-диагностические возможности и природные условия санаторной базы позволили значительно разнообразить и наиболее эффективно сочетать физические, психологические, социальные и медикаментозные методы реабилитационной программы, обеспечить их длительное воздействие и комплексный дифференцированный подход, что стало причиной достижения такого результата.</w:t>
      </w:r>
    </w:p>
    <w:p w:rsidR="0044675E" w:rsidRDefault="00936622">
      <w:pPr>
        <w:pStyle w:val="a3"/>
      </w:pPr>
      <w:r>
        <w:t>На сегодняшний день одной из самых актуальных проблем современной медицины является изучение метаболического синдрома (МС) [3,4]. Не вызывает сомнений тот факт, что истоки метаболических нарушений взрослых лежат в детском возрасте. Высокая распространенность составляющих МС (ожирение, нарушение толерантности к глюкозе, артериальная гипертензия (АГ)) в детской популяции обусловливают актуальность разработки подходов к лечению и профилактике МС [5]. По мнению Г.Е.Ройт- берга, МС является обратимым состоянием, при соответствующем лечении можно добиться исчезновения или уменьшения выраженности основных его проявлений [6].</w:t>
      </w:r>
    </w:p>
    <w:p w:rsidR="0044675E" w:rsidRDefault="00936622">
      <w:pPr>
        <w:pStyle w:val="a3"/>
      </w:pPr>
      <w:r>
        <w:t>Основным критерием МС у детей, предложенным Международной диабетической федерацией (2007), с модификациями, является висцеральное ожирение, диагностируемое в возрасте 10-18 лет по показателю окружности талии (ОТ) &gt; 90-го центиля для данного возраста и пола, или по показателю индекса окружность талии/окружность бедер (ОТ/ОБ) &gt; 0,85 для девочек и &gt; 0,9 для мальчиков [7]. Дополнительными критериями являются АГ (САД &gt;120 мм рт. ст., ДАД &gt; 80 мм рт. ст., или выше 90-го центиля для соответствующего пола и возраста), уровень триглицеридов (ТГ) &gt; 1,2 ммоль/л, холестерина липо- протеидов высокой плотности (ХС ЛПВП) &lt; 1,17 ммоль/л у мальчиков и &lt; 1,3 ммоль/л у девочек, общего холестерина &gt; 5,2 ммоль/л, ХС ЛПНП &gt; 3,36 ммоль/л; гликемия натощак &gt; 5,6 ммоль/л или нарушение толерантности к глюкозе (гликемия 6,7-10 ммоль/л в цельной венозной крови в ходе стандартного глюкозотолерантного теста) или диагностированный СД II типа. Диагноз МС очевиден при наличии висцерального ожирения и двух дополнительных критериев. Диагноз МС вероятен при наличии АГ и двух дополнительных критериев [8].</w:t>
      </w:r>
    </w:p>
    <w:p w:rsidR="0044675E" w:rsidRDefault="00936622">
      <w:pPr>
        <w:pStyle w:val="a3"/>
      </w:pPr>
      <w:r>
        <w:t>Целью нашего исследования было оценить эффективность коррекции метаболических нарушений у детей с КЭО после восстановительного лечения в условиях санатория по программе «Школа ребенка с лишним весом».</w:t>
      </w:r>
    </w:p>
    <w:p w:rsidR="0044675E" w:rsidRDefault="00936622">
      <w:pPr>
        <w:pStyle w:val="a3"/>
      </w:pPr>
      <w:r>
        <w:t>Материалы и методы</w:t>
      </w:r>
    </w:p>
    <w:p w:rsidR="0044675E" w:rsidRDefault="00936622">
      <w:pPr>
        <w:pStyle w:val="a3"/>
      </w:pPr>
      <w:r>
        <w:t>В исследование включены 10 подростков в возрасте от 12 до 15 лет. Средний возраст составил 12,6±0,33 лет.</w:t>
      </w:r>
    </w:p>
    <w:p w:rsidR="0044675E" w:rsidRDefault="00936622">
      <w:pPr>
        <w:pStyle w:val="a3"/>
      </w:pPr>
      <w:r>
        <w:t>Проводили стандартное клиническое обследование; диагноз КЭО выставлялся на основании показателя ИМТ (кг/м[1]) &gt; 97-го перцентиля согласно возрасту, полу и росту. Тип жироотложения оценивали по индексу ОТ/ОБ. Верификацию АГ осуществляли на основании трехкратного измерения АД (с интервалом 7 дней) и суточного мониторирования АД (СМАД). Для анализа результатов СМАД использовали перцентильные таблицы АД у детей и подростков в зависимости от пола, возраста и роста. АГ диагностировали согласно «Рекомендациям по диагностике, лечению и профилактике АГ у детей и подростков», разработанным Всероссийским научным обществом кардиологов и Ассоциацией детских кардиологов России (2003, 2007). Протокол лабораторного обследования включал оценку липидного профиля (ОХ, ТГ, ХС ЛПВП, ХС ЛПОНП), определение уровня мочевой кислоты в сыворотке крови, углеводного обмена (тощаковая гликемия, иммунореактив- ный инсулин, С-пептид, двухчасовой пероральный тест на толерантность к глюкозе — нагрузку глюкозой проводили из расчета 1,75 г/кг (но не более 75 грамм) в 200 мл водного раствора). Инсулинорези- стентность оценивали по косвенным показателям — базальному уровню инсулина в крови и малой модели гомеостаза с определением параметра HOMA-R, вычисляемого по формуле: (уровень глюкозы натощак, моль/л) х (уровень инсулина натощак, мЕД/л) / 22,5 [3].</w:t>
      </w:r>
    </w:p>
    <w:p w:rsidR="0044675E" w:rsidRDefault="00936622">
      <w:pPr>
        <w:pStyle w:val="a3"/>
      </w:pPr>
      <w:r>
        <w:t>Статистический анализ данных проводили с помощью пакета программ Statiatica 6.0. Определяли значения средней, стандартную ошибку средней, достоверность различий с помощью Т-критерия. Достоверным считали уровень значимости р &lt; 0,05.</w:t>
      </w:r>
    </w:p>
    <w:p w:rsidR="0044675E" w:rsidRDefault="00936622">
      <w:pPr>
        <w:pStyle w:val="a3"/>
      </w:pPr>
      <w:r>
        <w:t>Реабилитационная программа проводилась в течение 14 дней на базе санатория «Сосновка» Новгородской области и включала в себя этапную диетотерапию [9], дозированные физические нагрузки, физиолечение, групповую, индивидуальную и семейную психотерапию, теоретическое обучение детей с использованием видео и печатных материалов, обучение родителей.</w:t>
      </w:r>
    </w:p>
    <w:p w:rsidR="0044675E" w:rsidRDefault="00936622">
      <w:pPr>
        <w:pStyle w:val="a3"/>
      </w:pPr>
      <w:r>
        <w:t>Результаты и их обсуждение</w:t>
      </w:r>
    </w:p>
    <w:p w:rsidR="0044675E" w:rsidRDefault="00936622">
      <w:pPr>
        <w:pStyle w:val="a3"/>
      </w:pPr>
      <w:r>
        <w:t>Выявленные изменения у обследованных детей свидетельствовали о наличии у них метаболического синдрома.</w:t>
      </w:r>
    </w:p>
    <w:p w:rsidR="0044675E" w:rsidRDefault="00936622">
      <w:pPr>
        <w:pStyle w:val="a3"/>
      </w:pPr>
      <w:r>
        <w:t>Висцеральное ожирение имели 6 (60%) детей, значение среднего ИМТ у этих подростков составило 32,68±3,61кг/м[2]. Стойкая артериальная гипертензия выявлена у 8 (80%) детей. Дислипидемия зафиксирована у всех обследованных: гипертриглицеридемия — у 4 (40%), гиперхолестеринемия — у 2 (20%), снижение ХС ЛПВП — у всех. Инсулинорезистент- ность диагностирована у 2(20%) подростков, гиперу- рикемия — у 4 (40%).</w:t>
      </w:r>
    </w:p>
    <w:p w:rsidR="0044675E" w:rsidRDefault="00936622">
      <w:pPr>
        <w:pStyle w:val="a3"/>
      </w:pPr>
      <w:r>
        <w:t>Во время курса лечения все дети отмечали улучшение самочувствия и хорошую переносимость методик реабилитационной программы. Средние значения ИМТ и массы тела в конце санаторного лечения имели тенденцию к снижению с 32,43±2,34 до 29,82±2,23 и с 89,70±9,42 кг до 85,20±8,46 кг соответственно. Редукция массы тела в конце санаторной смены составила 3,33±0,94 кг. В то же время показатель соотношения ОТ/ОБ у мальчиков остался неизменным (0,89±0,01), тогда как у девочек, напротив, достиг нормальных значений (0,85 до лечения и 0,79 после).</w:t>
      </w:r>
    </w:p>
    <w:p w:rsidR="0044675E" w:rsidRDefault="00936622">
      <w:pPr>
        <w:pStyle w:val="a3"/>
      </w:pPr>
      <w:r>
        <w:t>Зарегистрировано снижение среднего уровня САД с 137,25±2,02 мм рт. ст. до 121,58±1,03 мм рт. ст. (р &lt; 0,05). Средний уровень ДАД составил 84±2,32 мм рт. ст. до лечения и 72,22±2,05 мм рт. ст. после него.</w:t>
      </w:r>
    </w:p>
    <w:p w:rsidR="0044675E" w:rsidRDefault="00936622">
      <w:pPr>
        <w:pStyle w:val="a3"/>
      </w:pPr>
      <w:r>
        <w:t>Снижение массы тела как у мальчиков, так и у девочек сопровождалось положительной коррекцией дислипидемии. После лечения имело место достоверное увеличение уровня ОХ ЛПВП и снижение уровня триглицеридов сыворотки крови (р &lt; 0,05) (см. табл.).</w:t>
      </w:r>
    </w:p>
    <w:p w:rsidR="0044675E" w:rsidRDefault="00936622">
      <w:pPr>
        <w:pStyle w:val="a3"/>
      </w:pPr>
      <w:r>
        <w:t>20% обследованных детей имели показатель HOMA-R &gt; 2,77, что свидетельствовало о наличии у них инсулинорезистентности. После восстановительного лечения индекс HOMA-R у этих детей уменьшился с 2,83±0,05 до 2,59±0,04, что позволяет предположить повышение чувствительности тканей к инсулину.</w:t>
      </w:r>
    </w:p>
    <w:p w:rsidR="0044675E" w:rsidRDefault="00936622">
      <w:pPr>
        <w:pStyle w:val="a3"/>
      </w:pPr>
      <w:r>
        <w:t>Динамика лабораторных показателей у детей с КЭО и МС после программы реабилитации</w:t>
      </w:r>
    </w:p>
    <w:p w:rsidR="0044675E" w:rsidRDefault="00936622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44675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44675E" w:rsidRDefault="00936622">
            <w: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До лечения М±т (п = 10)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После лечения М±m (n = 9)</w:t>
            </w:r>
          </w:p>
        </w:tc>
      </w:tr>
      <w:tr w:rsidR="0044675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4675E" w:rsidRDefault="00936622">
            <w:r>
              <w:t>ОХ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3,93±0,32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3,46±0,20</w:t>
            </w:r>
          </w:p>
        </w:tc>
      </w:tr>
      <w:tr w:rsidR="0044675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4675E" w:rsidRDefault="00936622">
            <w:r>
              <w:t>ОХ ЛПВП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0,81±0,04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1,12±0,11*</w:t>
            </w:r>
          </w:p>
        </w:tc>
      </w:tr>
      <w:tr w:rsidR="0044675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4675E" w:rsidRDefault="00936622">
            <w:r>
              <w:t>ТГ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1,30±0,19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0,67±0,11*</w:t>
            </w:r>
          </w:p>
        </w:tc>
      </w:tr>
      <w:tr w:rsidR="0044675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4675E" w:rsidRDefault="00936622">
            <w:r>
              <w:t>HOMA-R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1,81±0,27</w:t>
            </w:r>
          </w:p>
        </w:tc>
        <w:tc>
          <w:tcPr>
            <w:tcW w:w="0" w:type="auto"/>
            <w:vAlign w:val="center"/>
            <w:hideMark/>
          </w:tcPr>
          <w:p w:rsidR="0044675E" w:rsidRDefault="00936622">
            <w:r>
              <w:t>1,66±0,24</w:t>
            </w:r>
          </w:p>
        </w:tc>
      </w:tr>
    </w:tbl>
    <w:p w:rsidR="0044675E" w:rsidRPr="00936622" w:rsidRDefault="00936622">
      <w:pPr>
        <w:pStyle w:val="a3"/>
      </w:pPr>
      <w:r>
        <w:t>*Различия достоверны в сравнении с исходными данными (р &lt; 0,05).</w:t>
      </w:r>
    </w:p>
    <w:p w:rsidR="0044675E" w:rsidRDefault="00936622">
      <w:pPr>
        <w:pStyle w:val="a3"/>
      </w:pPr>
      <w:r>
        <w:t>Заключение</w:t>
      </w:r>
    </w:p>
    <w:p w:rsidR="0044675E" w:rsidRDefault="00936622">
      <w:pPr>
        <w:pStyle w:val="a3"/>
      </w:pPr>
      <w:r>
        <w:t>Таким образом, у обследованных детей с КЭО выявлены основные и дополнительные диагностические критерии МС. Комплексное восстановительное немедикаментозное лечение по программе «Школа ребенка с лишним весом» в условиях санатория является эффективным методом лечения для данной категории пациентов, так как ведет к редукции массы тела и ИМТ, позволяет скорректировать дислипиде- мию, инсулинорезистентность и АГ.</w:t>
      </w:r>
    </w:p>
    <w:p w:rsidR="0044675E" w:rsidRDefault="00936622">
      <w:pPr>
        <w:pStyle w:val="a3"/>
      </w:pPr>
      <w:r>
        <w:t>Клинико-метаболические нарушения у детей с КЭО и МС обуславливают необходимость применения комплексного, преимущественно немедикаментозного лечения, направленность которого должна определяться степенью выраженности метаболических изменений.</w:t>
      </w:r>
    </w:p>
    <w:p w:rsidR="0044675E" w:rsidRDefault="00936622">
      <w:pPr>
        <w:pStyle w:val="a3"/>
      </w:pPr>
      <w:r>
        <w:br w:type="textWrapping" w:clear="all"/>
        <w:t>[1]Шевченко Ю.Л., Селезнев И.Ю. О совершенствовании ме</w:t>
      </w:r>
      <w:r>
        <w:softHyphen/>
        <w:t>дицинской помощи больным с заболеваниями органов пи</w:t>
      </w:r>
      <w:r>
        <w:softHyphen/>
        <w:t>щеварения // Коллегия МЗ РФ: Мат. коллегии. М., 2004. 6 с.</w:t>
      </w:r>
    </w:p>
    <w:p w:rsidR="0044675E" w:rsidRDefault="00936622">
      <w:pPr>
        <w:pStyle w:val="a3"/>
      </w:pPr>
      <w:r>
        <w:t>[2]Дедов И.И. Эффективность мотивационного обучения больных ожирением // Ожирение и метаболизм. 2004. №2. С.25-29.</w:t>
      </w:r>
    </w:p>
    <w:p w:rsidR="0044675E" w:rsidRDefault="00936622">
      <w:r>
        <w:t xml:space="preserve">  </w:t>
      </w:r>
      <w:bookmarkStart w:id="0" w:name="_GoBack"/>
      <w:bookmarkEnd w:id="0"/>
    </w:p>
    <w:sectPr w:rsidR="00446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622"/>
    <w:rsid w:val="0044675E"/>
    <w:rsid w:val="00936622"/>
    <w:rsid w:val="009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16FE7-B24A-4474-9529-2034DCB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1258</Words>
  <Characters>7173</Characters>
  <Application>Microsoft Office Word</Application>
  <DocSecurity>0</DocSecurity>
  <Lines>59</Lines>
  <Paragraphs>16</Paragraphs>
  <ScaleCrop>false</ScaleCrop>
  <Company>diakov.net</Company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Опыт восстановительного лечения детей с конституционально-экзогенным ожирением и метаболическими нарушениями</dc:title>
  <dc:subject/>
  <dc:creator>Irina</dc:creator>
  <cp:keywords/>
  <dc:description/>
  <cp:lastModifiedBy>Irina</cp:lastModifiedBy>
  <cp:revision>2</cp:revision>
  <dcterms:created xsi:type="dcterms:W3CDTF">2014-08-02T20:08:00Z</dcterms:created>
  <dcterms:modified xsi:type="dcterms:W3CDTF">2014-08-02T20:08:00Z</dcterms:modified>
</cp:coreProperties>
</file>