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Реферат</w:t>
      </w:r>
    </w:p>
    <w:p w:rsidR="009F5FA4" w:rsidRPr="00981D24" w:rsidRDefault="00D01E83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Предпосылки</w:t>
      </w:r>
      <w:r w:rsidR="009F5FA4"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торгово-экономического</w:t>
      </w:r>
      <w:r w:rsidR="009F5FA4"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4457"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="002176F3"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 Федерации и Саудовской Аравией</w:t>
      </w:r>
    </w:p>
    <w:p w:rsidR="009F5FA4" w:rsidRPr="00981D24" w:rsidRDefault="009F5FA4" w:rsidP="009F5FA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5FA4" w:rsidRPr="00981D24" w:rsidRDefault="009F5FA4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межгосударственные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предпочтительнее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фоне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общих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проблем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глобального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характера,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изменений,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преображают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лицо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мира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влияют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взгляд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уместен,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речь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разделенных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географически,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десятилетиями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обоюдного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недоверия.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Понимание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закономерностей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помогает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осознать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пути,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быстрее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легче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приведут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восстановлению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полномерных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важного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фактора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жизни.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текущем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этапе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российско-саудовские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получили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существенный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импульс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официального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визита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нынешнего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короля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Абдаллы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Абдельазиза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Аль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доказало,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изоляции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завершилось,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мир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превратился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большую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деревню,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современные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сблизили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дав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новый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импульс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наведения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мостов.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Нынешняя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эпоха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разительно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отличается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предшествующих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периодов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истории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человечества.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Алармисты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говорят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конфликте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цивилизаций,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кажется,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процесс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плоскости.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символы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выражаются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крушении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стереотипов,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сближении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народами,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укреплении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преодолении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разногласий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ради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прогресса.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преувеличивать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факторов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считать,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арене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действуют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явления,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получающие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большой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резонанс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провоцируемые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мощным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социальным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влиянием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явление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порождает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новую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волну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мира.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позволяет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накапливать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материальные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богатства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содействовать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подъему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производительных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обществе.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другой,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механизмов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равномерного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богатства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народов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земного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шара.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словами,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сближает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народы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социокультурном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плане,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способствует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возникновению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равенства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потреблении,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движения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вперед.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неодинаковы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всех,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поскольку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возникло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гомогенное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мировое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пространство.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реально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доминируют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блоки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царят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наднациональные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финансового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характера,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господствуют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транснациональные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монополии.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ситуация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оставляет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двухсторонней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обретать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взаимовыгодного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выгоды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существенно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разнообразить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внешнеэкономическую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открывается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обогатить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опыт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добиться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диверсификации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увеличения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внутренних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объемов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продукцию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отмечен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повышенный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спрос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каждой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препятствия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возникнуть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вступило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возлагает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осязаемые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обязательства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каждого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члена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членами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таковой.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Российско-саудовские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частью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российско-арабских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находятся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стадии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обновления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застоя.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российско-саудовский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опыт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воплотился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продемонстрировать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возвращается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пределы.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возвращение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мощно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поддерживается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наиболее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региона,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мира.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Сейчас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избавляются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комплексов,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основываются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принципах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равенства,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уважения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обоюдных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Ранее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советском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руководстве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воспринималось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одномерно.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сателлит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союзник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США,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антипод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коммунистической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идеологии,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внешнеполитический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антагонист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СССР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противник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социалистической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проявлениях.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Из-за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Советский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Союз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замечать»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Аравию,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игнорировать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центр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ислама,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вообще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демонстрировать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холодность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монархии,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считалась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классово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чуждым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институтом.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СССР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придавалось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играет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Советский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Союз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экспортером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прямых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означало,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идеологические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препоны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возобладали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соображениями.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атмосфера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повлияла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комплекс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российско-саудовских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смену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настороженности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пришел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потребовавший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познания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расширения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культурного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побудительные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мотивы,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подтолкнувшие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навстречу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другу.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заставляющее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забывать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искать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будущее.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секрет,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потеряли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прошедший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десяток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лет.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огромным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колоссальным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ресурсным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потенциалом.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ухудшились,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модернизация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материально-технической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базы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требует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серьезных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вложений,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мобилизации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источников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очередь,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потеряла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поступлений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колебаний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Доход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душу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населения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снизился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почти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сказываться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социальном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здоровье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Понижение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статусе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умерило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неприступность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открыло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этап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сближении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рухнули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барьера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идеологический,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политический,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открывает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буквально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направлениях.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более,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исторически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исключительно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сферах.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эпоху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перехода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чрезмерное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огосударствление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собственности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превращается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тормоз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разрешена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быстро,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множество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разгосударствление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иным,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долгим,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взвешенным,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неминуемым.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Разница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тактике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очевидна,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будущего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сближает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точки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зрения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понимания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реформ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любом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случае,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ясно,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сближают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вообще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сходные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явления,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обладающие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масштабным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оказывать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влияние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характер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темпы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очередь,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связанные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пребыванием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состоянии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переходности,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предпосылок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последовательных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реформ,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приватизацией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госсобственности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либерализации,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гражданского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преодоления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проявлений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авторитаризма.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влияние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действительность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неоднозначно.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действуют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различной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цивилизационной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историческую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основу.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протекают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скоростью,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общественно-политические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социально-экономические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последствия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проявляться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жизни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неодинаково.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Соответственно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способствовать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сдерживать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главное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заключается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насколько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совпадают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коммерческие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сближающихся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насколько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политическая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служить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выражением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бывшими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антиподами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превращения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заинтересованных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виду,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длительного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времени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существовало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достаточно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ограничителей,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лимитировать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темпы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торгово-экономического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сближения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определялись,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минимум,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несколькими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весомыми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выделить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как: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спад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сокращение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потребительских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инвестиционных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рынкам,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тенденция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самоустранению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Ближнем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Востоке.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вывело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регион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периферию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привело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снижению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мире,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отсутствие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коммерческих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внешнеторговых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традиционными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говоря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новых,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переориентация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оставшихся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поставщиков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базовых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рынки,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реформирование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переход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трудности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бизнесменов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перспективных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90-е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столетия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низшим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показателям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межправительственном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уровне,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каналам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охлаждение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отмечено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традиционными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связям.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случае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ситуация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осложняется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связано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различиями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национальном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менталитете,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пониманием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строится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вероятно,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следовало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минимум: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пробиваться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искать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ниши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где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взаимовыгодного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обмена,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преодолевать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предубеждение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осторожность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предпринимательских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кругов,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имеющих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опыта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капиталом,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познавать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специфические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особенности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функционирования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сформировавшиеся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воздействием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традиционных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влиянием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стандартов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деловых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доказывать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конкурентоспособность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пригодность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использованию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сложность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ориентацией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использование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технологий,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оборудования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механизмов.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очередь,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видимо,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понимание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что: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капиталистический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уклад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сформировался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аспектах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устоялись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соответствуют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степени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зрелости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современный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успел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обрести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традиции,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формируется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влиянием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текущих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склонен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перенимать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применяются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нему,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всегда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демонстрирует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энтузиазм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готовность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налаживанию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поскольку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внутри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заинтересовывать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масштабами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связью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приоритетами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прибылью,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мелкий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реактивен,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ряде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случае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менее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культурен,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демонстрировать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специфическое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понимание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дел.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Видимо,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полагать,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степени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пассивность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предпринимательских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кругов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Востоке.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Сказанное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выше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позволяет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вывод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заметно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затрудняют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связано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объективными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возникли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перестройки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либерализации,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приватизации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госсобственности.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приход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людей,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функционирует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каковы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законы,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опыта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западным,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капиталом.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советское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сводившиеся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пониманию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механизмов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торгово-экономических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межправительственной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межгосударственной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оказались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недостаточными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успешного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продвижения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коммерческих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положение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таково,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глубокие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корни,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российский;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опирается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строгие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каноны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обладает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возможностями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маневра.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бюрократия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сохраняет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позиции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играть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направляющей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поиске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потенциальными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партнерами.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поведения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выработаны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полноте.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Конечно,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живет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правовом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политико-экономическом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вакууме.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оформлена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бюрократия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проявляет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инициативы,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коэффициент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полезного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продвижения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зарубежными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каналам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бывает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видится.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значительной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мелкий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пользуется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вялой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поддержкой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последнего.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насчитывается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900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тыс.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мелких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около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80%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обслуживанием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выпуском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питания.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самостоятельно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выходить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успешно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Множество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подготовлено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конкуренции.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Хорошо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известны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недостатки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выражены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малой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подвижности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государственных,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акционированных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равно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понятно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заключаются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слабые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полуострова.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например,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стремление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рисковать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денежными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средствами,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брать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себя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техническую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сделок.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вероятно,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помеха,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затруднить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стадии.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кажется,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один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момент,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могущий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сказаться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темпах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продвижения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планов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гигантомания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стремление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сразу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придать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масштабный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характер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реализовать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сделках.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богатая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испытывают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влечение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амбициозным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отраслях.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сводится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следствием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доверия,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приобретается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вероятно,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предпочтительнее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начинать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дел,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малых,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крайней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параллельными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курсами.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свете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представляется,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провинции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подходящая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площадка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экспериментов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Здесь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достаточно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разветвленный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потенциал,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дешевая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рабочая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пустующие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помещения.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ощущается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дефицит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потребительских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услуг,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безработица.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оперативны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касается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мелкого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приносить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гарантированную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стабильную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прибыль.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здесь,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кажется,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заложены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резервы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некрупные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проверять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схем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властями.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оказаться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открыть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дорогу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сотрудничеству.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составляет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миллионов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десятки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миллиардов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долларов.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сделками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провинциальный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мелкого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среднего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гарантии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найти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здесь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удобные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себя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ниши.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похоже,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учитывается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диалоге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предпринимателей,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едва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сомневаться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отправная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точка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расположена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субъектах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федерации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лежит,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например,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коммунальном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переработке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мусора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сферах.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собирается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когда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преобразования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пространства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становления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институтов.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Действительно,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прежних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препятствий,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излишне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формализовали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сдерживали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свободное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течение.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возникали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из-за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явлений,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как: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стиль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руководства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учреждениями,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всегда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отличавшийся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сниженной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инициативностью,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повсеместное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воздействие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функционирование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механизмов,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излишнее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вмешательство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деятельности,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применение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безальтернативных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директивного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планирования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бюрократических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управления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сферой.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Чрезмерная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централизация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случаях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обусловливала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сбои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из-за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затягивания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согласования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шагов,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сроков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исполнения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нестыковки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планов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опиравшихся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планы.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Затратные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нередко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применявшиеся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рутинной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зарубежными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негативно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сказывались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эффективности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направлениях.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Сейчас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ситуация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значительно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отличается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ранее.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повлиять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содержание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зарубежными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сказать,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специфики,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определяются,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числе,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ситуацией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пространстве.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во-первых,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глобализация,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настоящее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проявляется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современного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пространства.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Очевидно,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будущее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явлением,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будущем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сейчас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ориентироваться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максимальное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использование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преимуществ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международного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разделения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труда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интеграции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ущерб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самостоятельности.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изоляции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глобализации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едва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полноценно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арене,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функционировать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координат,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членами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Во-вторых,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энергоресурсы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укрепления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благополучие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ценообразования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государствах-нефтеэкспортерах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Персидскогоо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залива.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взвешенная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поведения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конъюнктурой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служить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конструктивным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нефтеэкспортирующими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В-третьих,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исламский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играет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весомым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компонентом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мусульманского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населения.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уделяется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повышенное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внимание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политическим,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соображениям.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реанимировал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исламские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инструменты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регулирования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Принципы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исламской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получили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распространение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используются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банковском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секторе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пространства.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полезный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опыт,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следовало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перенять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Исламские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институты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временем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степенью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органичности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вписаться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жизни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помощью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разнообразить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механизмы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регулирования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укреплять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центром,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способствующим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возрождению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уникальных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исламских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банковских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учреждений,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появление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территории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снискать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армию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пользователей.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Помимо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организационных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способных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затруднить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стадии,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весомые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влияющие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интенсивность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обусловленные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наследием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эпохи.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преодолеваются,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игнорировать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живучесть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представлений,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затруднять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торгово-экономические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очередь,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традиционное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отсутствие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позиций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полуострова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протяжении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периода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новейшей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истории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изолированность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высокая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степень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замкнутости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элит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обусловленная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политическими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периода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холодной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войны.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Менее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убываемое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играют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неприязнь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антирелигиозной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коммунистической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идеологии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позиционирование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выразителя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идеи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неприятия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безбожия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непопулярность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афганской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чеченской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войн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глазах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мнения.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регионе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подверглась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пересмотру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всяком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случае,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возрастает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ведущей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вообще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арабскими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частности.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понимание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складываться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трудностей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надо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учесть,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отчуждения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теряли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дипломатических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представительств,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миссий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через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посредников.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Советской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рубеже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20–30-х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ограничивались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соответствии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потребностями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времени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возможностями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страны-поставщика,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Второй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войны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номенклатура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поставлявшихся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естественным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образом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расширилась,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продолжала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оставаться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ограниченной.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например,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половине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70-х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СССР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отправлял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пиломатериалы,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тракторы,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легковые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автомобили,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кабели,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чугунные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трубы,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ткани,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металлическую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посуду,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спички,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электрические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лапы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т.п.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словами,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значительной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степени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потребительские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лишь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относительно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небольшой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степени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инвестиционного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назначения.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Вплоть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конца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90-х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СССР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осуществлялась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каналам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непосредственно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через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третьих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лишь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импортом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отметить,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объемы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количество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поставляемых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неоднородны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колебались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годам.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период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Второй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войны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СССР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Персидского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залива,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считая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Йемена.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несколько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детализировать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картину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торгово-экономических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составляющие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следующими.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1998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оборот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оставался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примерно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предшествующих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стоимостном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выражении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оценивался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125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упомянутом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поставлено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фуражных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сельскохозяйственных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культур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сумму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70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долл.,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стального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проката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достигли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30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долл.,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меди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долл.,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дерева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импорт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оценивался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0,5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состоял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цитрусовых.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Начиная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1997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машин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оборудования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заметно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сократились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теперь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ограничиваются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сырьевыми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материалами.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произошло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серьезного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кризиса,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переживает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тяжелая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сборочная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промышленность.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середине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1998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полностью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прекращен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импорт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автомобилей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ВАЗ.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Спрос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грузовые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машины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коммерческих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масштабов.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размах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повлияло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требовать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предварительной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частичной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оплаты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поставок.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причинам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предложения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оборудования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машин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концу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90-х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прошлого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снизились.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ситуация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возникла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неприемлемых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выдвигавшихся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следствие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реклама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крайне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неудачной,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параметрам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западной.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Продвижение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оборудования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зависит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наличия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агентов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дистрибьюторов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отказывались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предприятиями,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организациями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заводами.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поведение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провоцировалось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невыполнением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обязательств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поставщиков.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отрицательную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сыграли,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указывалось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выше,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требования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сопровождали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сделки.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требованиям,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естественно,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оправдание.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сводится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из-за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финансовых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неурядиц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производители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испытывали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серьезный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дефицит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оборотных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средств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счет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предоплаты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компенсировать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нехватку.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принималась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механизмов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поддержания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было.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потребители,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моменту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давно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использовали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практику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предоплаты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импортных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поставок,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отказались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подобных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привело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начавшиеся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подвижки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вышли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начальной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стадии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настоящее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продолжают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вербальном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уровне,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ограничиваются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переговорами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перепиской,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визитами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рутинной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деятельностью.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менее,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рубеже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столетий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определенная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имевшая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целью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предприятиями,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известны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арене.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проявляли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гиганты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например,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Стройтрансгаз,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Газпром,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Трансгаз,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Технефтегаз,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Адмиралтейский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судостроительный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завод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другие.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вовлечены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крупнейшие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корпорации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фирмы.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отмечалось,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концентрировалась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преимущественно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организационной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деятельности: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устанавливались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выявлялись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намерения,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подписывались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агентские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соглашения,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поиск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размещения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представителей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территории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т.п.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Собственно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ограничивалась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отдельными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небольшими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сделками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затрагивала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отдельные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группы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продуктивная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связанная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обменом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товарами,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составляла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лишь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незначительную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часть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коммерческими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структурами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проводится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сопутствующая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формировались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комитеты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комиссии,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уточняются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выясняется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устройство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порядок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фирм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компаний,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подписываются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документы,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организуются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встречи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бизнесменов,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ведется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поиск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т.п.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шагом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вперед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накануне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визита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Москву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наследника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престола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принца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Абделлы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ибн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Абдельазиза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инициатива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центра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обмена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информацией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быстрой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действительно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рабочих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бизнеса.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примерно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русле,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Мероприятия,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проходившие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межправительственной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российско-саудовской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комиссии,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практическими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шагами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непосредственному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сторон.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заседаниях,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участвовали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бизнесмены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специалисты,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представлявшие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различные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коммуникации,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строительство,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здравоохранение,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чиновники,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обсуждались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вопросы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устройства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российско-саудовской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вопросы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упрощения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торгового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обмена,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межбанковских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взаимоотношений,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активизация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туризма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обмена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визитами,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капиталовложений.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показывает,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существуют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широкие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перспективы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Подписание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протокола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указанной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комиссии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воплощением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идеи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Этап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наведения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мостов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разработки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программ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комплексами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рассматриваться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абсолютно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сложившихся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исторических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обстоятельствах.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длительное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поскольку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намечает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конкретные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вперед.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требуется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прочный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фундамент,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стабильность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уверенность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возможностях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подготовительный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имел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последствия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реализоваться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виде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конкретных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лучшим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свидетельством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результативности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Вообще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создают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прочную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базу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взаимодействия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нынешних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Федерация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видимо,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считаться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совместимыми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хозяйственном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даже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друга.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накоплены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надежного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размещения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зависит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благополучие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страны.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является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обширным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иностранных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Обладая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огромными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природными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ресурсами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научно-техническим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потенциалом,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нуждается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резком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увеличении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хозяйство,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исследовательскую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базу,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сферу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услуг.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привлечение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благоприятный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функционирования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становится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задачей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правительства.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Современная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действительность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постоянно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воздействует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заставляет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искать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корректировать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пути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арене.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вплотную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подошла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осознанию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истины,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нуждается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сбалансированной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компоненты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сильное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сильный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разрабатывается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учетом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высокий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национальной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конкурентоспособности,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осуществляемая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базе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пяти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приоритетных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перспективы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рассчитываются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15–20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лет.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очередь,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зарубежными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странами,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особенно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США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Аравией.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Второе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представлено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консолидацией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активов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ключевых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отраслях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промышленности.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Ситуация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такова,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реально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компании.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могла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соответствующее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место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собственный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транснациональные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корпорации.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прилагает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максимальные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усилия,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компании.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претендент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Газпром,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энергетическим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концерном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уровня.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Третье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заключается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оптимальной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системы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государственно-частного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партнерства.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добиться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корректного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нормальных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избежать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вмешательства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конкурентный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сектор.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Четвертое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связано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расширением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кооперации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зарубежными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производителями.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касается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отраслей,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работающих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режиме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сборки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использованием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компонентов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иностранных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поставщиков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продукции.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увеличить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приток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иностранных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промышленность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появление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Пятое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основано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слиянии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едином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инноваций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интеграции.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тактика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обеспечить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появление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внутреннем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продуктов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услуг.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подготовлен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закона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участии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иностранных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инвесторов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капитале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отраслей.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Принятие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закона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создаст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иностранным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инвесторам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определенность,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получат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необходимые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гарантии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смогут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оперативно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вопросы.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подход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формулированию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предполагает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встраивание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общепринятых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укоренение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рыночные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схем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связей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прозрачных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бизнесе.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свете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принципов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межправительственной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комиссии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прорабатываются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соглашений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защите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поощрении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инвестиций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избежании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двойного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налогообложения.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документа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будут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реализованы,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будет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благоприятная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среда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предпринимательской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участием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обоих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Одна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перспективных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оперировать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третьих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странах.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предпринимательства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представлять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деятельности,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подрядные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работы,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поскольку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стройиндустрия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имеет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колоссальный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опыт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строительства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самых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географических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жарком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климате.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Важный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кроется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том,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наших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являются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крупнейшими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экспортерами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входит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ОПЕК,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взаимно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осознанные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соображения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целесообразности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сыграть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заметную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оптимизации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процессов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ценообразования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ресурс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глобальном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уровне.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считает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Саудовскую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стратегическим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партнером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экспорта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придает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большое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согласованию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позиций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ради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интересов.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визита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Москву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нынешнего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были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подписаны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документы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двустороннем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Соглашение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предусматривает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совместной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рабочей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группы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составе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представителей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министерства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энергетики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министерства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минеральных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ресурсов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королевства.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Документ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подготовит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упрощения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процедур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создании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газа.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Кроме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намечены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совместные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научные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применения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передовых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технологий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разведке,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добыче,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переработке,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хранении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транспортировке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нефтепродуктов.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Соглашение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предусматривает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обмен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информацией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проблемам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газа,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проведение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конференций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семинаров,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выставок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т.п.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числе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ключевых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направлений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координация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поставок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нефти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внешние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поведением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цен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сырье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рынках.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свете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изложенного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можно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сделать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некоторые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предварительные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заключения,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которые,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представляется,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целесообразно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трактовать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следующим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образом:</w:t>
      </w:r>
    </w:p>
    <w:p w:rsidR="00B04457" w:rsidRPr="00981D24" w:rsidRDefault="00B04457" w:rsidP="009F5FA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прошедший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период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воспринимать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разлада,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этап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подготовки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экономическому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политическому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сближению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новых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исторических</w:t>
      </w:r>
      <w:r w:rsidR="009F5FA4"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условиях,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возобновление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потому,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осознали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своевременность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отношений,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стремится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диверсифицировать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внешнеэкономические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резервирует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наращивания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альтернативными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партнерами,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последнюю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Россией,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осознала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широкой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диверсификации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внешнеэкономических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связей.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включать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арабского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мира,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едва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достаточной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полнотой,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выраженная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политическая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руководства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Поэтому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текущем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этапе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важно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механизмы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позволят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воплотить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дела.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Выше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выступлении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говорилось,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межстрановом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поприще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объективных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причин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сводится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начальным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шагам,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предстоит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осязаемое.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устроители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семинара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пожелали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выделить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конкретный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аспект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предложили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сконцентрировать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обмене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торгово-промышленных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стимулировании.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самым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стремились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подчеркнуть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значимость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активизации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внешнеэкономических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связей.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трудно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переоценить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институтов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обмена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странами.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подчеркнуть,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интенсифицировать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признанных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общении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механизмов,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особой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масштабности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работе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наблюдается.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состояние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общей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ситуации,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складывающейся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российско-саудовского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уместно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сделать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замечаний.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Первое.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Ресурсный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потенциал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действительно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велик,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позволяет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говорить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реальных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взаимоотношений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широкому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кругу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отраслей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направлений.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Второе.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заниматься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анализом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положения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обсуждать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поставок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услуг,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изучать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конъюнктуру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рынков,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формировать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планы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т.д.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Третье.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неправительственные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придать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динамику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процессу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королевством.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торгово-промышленными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насчитывается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15,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принципе,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способны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силой,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расчищать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направлениях.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виду,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свободны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некоего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бюрократического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начала.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кажется,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склонны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тому,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придерживаться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течения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процессов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т.е.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ограничиваться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продвижением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русле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длительное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разрабатываемых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программ,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рассчитанных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длительные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сроки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исполнения,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обстоятельства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требовать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быстрых,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энергичных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действий,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неординарных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инструментов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придать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мощный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динамичный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импульс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текущем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этапе.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Российско-арабский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совет,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Российско-саудовский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совет,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Совместный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совет,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Российско-арабский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клуб,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конечно,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полезную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создавая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почву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улучшения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расширения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сфере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компаниями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задача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обеспечивать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обмен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информацией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аспектам,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конъюнктуре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рынков,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возможностям,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технологическому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сотрудничеству.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содействовать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заключению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соглашений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экономике,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технологий,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изучать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представлять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ускорению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Ныне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образовалось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большое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количество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сходных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задачам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какой-то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дублировать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всего,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сталкиваться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оперируя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данными,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циркулируют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причине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немного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шансов,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разнообразить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счет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источников.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случайно,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сосредоточивается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торговле,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анализе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состояния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обсуждении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изучении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перспектив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укрепления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перспективных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направлений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характерен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протокол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заседания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Совместной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межправительственной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научно-техническому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сотрудничеству.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документ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первым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роде,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впервые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заполнил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почти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вакуум,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существовал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нашими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способен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большого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прогресса,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добились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наши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прокладывая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путь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навстречу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другу.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заседания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совместной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договорились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пунктам.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них,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крайней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мере,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обоюдном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понимании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изъявила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готовность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предоставить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конкретные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услуги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оказать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техническое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партнерам.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пункт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включает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нефтегазовую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энергетику.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подробно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рассмотрены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вопросы,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освоением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минеральных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ресурсов,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сельским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хозяйством,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водоснабжением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рыболовством,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транспортом.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пунктов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указывались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проекты,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гарантированно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принести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успех.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остальных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вопросах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протокол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ограничивался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общими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пожеланиями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сентенциями.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Высказывалась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поприщах,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приветствовалось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проведение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мероприятий,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выражалась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надежда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плодотворность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интересах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т.п.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словами,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зафиксировано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мало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конкретики,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приближения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изложенное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протоколе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может,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видимо,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считаться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достаточным.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более,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круг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объектов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намечен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обширный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включал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аспекты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хозяйственной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активности.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договорно-правовая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торговли,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сфере,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туризма,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технического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молодежи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спорта,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здравоохранении,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научно-техническое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ясно,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столь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объемная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конкретных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наших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существу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трактоваться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преимущественно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декларация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намерений.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оценка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обусловлена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началу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столетия,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оснований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обольщаться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взрывного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событий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фронте.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сказать,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товарооборот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Аравией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1995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гг.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неравномерным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годам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обнаруживал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устойчивую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тенденцию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понижению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стоимостном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выражении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223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базовом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67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2001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увеличившись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138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долл.,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достигнув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уровня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1995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Правда,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вырос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импорт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0,2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1995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2,1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счет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увеличения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закупок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топлива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заправки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авиалайнеров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цитрусовых.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экспорте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королевство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традиционно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преобладают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стальной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прокат,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цветные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металлы,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оцинкованные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трубы,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автопокрышки,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железнодорожные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шпалы,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электротехнические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изделия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бытового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назначения,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измерительные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приборы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инструменты,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бумага,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медикаменты,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икра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рыбопродукты.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Делались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отдельными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компаниями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привело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стабильным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результатам.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нашими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текущем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этапе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неустойчивый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характер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сопряжены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серьезными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трудностями.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обусловлены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сильными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позициями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Запада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экономике,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невысоким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качеством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отдельных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неточным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соблюдением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контрактных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обязательств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поставщиками.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осложняющим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фактором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экспорта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1996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ввела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новую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систему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сертификации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импортных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стандартам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сельскохозяйственных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ввоз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разрешен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наличии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сертификата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соответствия.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материалов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становится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очевидным,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вектор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российско-саудовского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клонится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крупным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проектам.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называются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электростанции,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реконструкция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аэропорта,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модернизации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одного-двух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нефтеперерабатывающих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заводов,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трудноизвлекаемых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ресурсов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Западной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Сибири,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сооружение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черной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цветной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металлургии,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элеваторов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зернохранилищ.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существу,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речь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отраслях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экономики.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регулирование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скорее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компетенцией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инстанций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межправительственных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соглашений,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крайне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необходимо,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единственной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сферой,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стыкуются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ресурсы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обоих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взаимодействует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остро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стоит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среднего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класса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восстановления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разрушенной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сельского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хозяйства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процессе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мелких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средних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недавнего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опыта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даже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продвинутой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Франция,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видно,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некрупный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фактически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спас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70-е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годы,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столкнулась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острейшим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кризисом.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словами,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арену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смысл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выдвигать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некрупное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эшелон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призванный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продемонстрировать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тесных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продуктивность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прибыльность.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настоящих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пробным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камнем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капиталами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подход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оправдан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несколькими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обстоятельствами,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базируются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на: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существовании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колоссальных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развертывания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мелкой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инвестиционной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провинциях,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отсутствии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вкладывать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(и,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следовательно,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рисковать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ими)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инициируемые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предприятия,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наличии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готовых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пустующих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помещений,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продаваемых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умеренным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ценам,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огромной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потребности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рабочих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обеспечении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занятости,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наличии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природных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трудовых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ресурсов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провинциях,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определенных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участии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легко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довести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размера,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нужного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открытия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заведения.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обоих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многое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сделать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поприще,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мобилизовав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парламентов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субъектов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подвигнуть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инвесторов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вложить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небольшие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гарантии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органов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мелкий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промышленный,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аграрный,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небольшое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коммунальное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хозяйство.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гарантированно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прибыльное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инвесторы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предметный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урок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выгодности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ведения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пределах.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бизнесмены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одиночестве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просторах.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Известно,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недавно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китайское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предпринимательское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сообщество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вложило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города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Грозного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Чечне,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французский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немецкий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поступает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оказания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поддержки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мелкому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среднему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самых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областях.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Сейчас,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например,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китайские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инвесторы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ищут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открытия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сборке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высокотехнологичных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комплектующих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выпуска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видео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телевизионной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техники.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желании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список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продолжить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упомянуть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немалое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число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возникали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функционируют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провинциях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будучи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личной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инициативы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понуждения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официальных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показательны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механизмы,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нередко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прибегает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иностранный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ищут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параллельно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учреждениями,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представленными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торговыми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палатами.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означает,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неадекватны,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проигрывать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скорости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налаживания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момент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учитывается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бизнесменами.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полагаются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советы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известных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людей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числа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аборигенов.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опираются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личные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связи,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знание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специалистов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сфер,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объединены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формальные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структуры,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доступ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провинциальные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бизнес-круги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бизнес-структуры.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практика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обеспечивает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неформальные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посредников,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помогает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быстрее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завязать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установить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доверительное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общение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предпринимателями,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обстановку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доверия.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Нередко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иностранные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группы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образуют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небольшие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консалтинговые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бюро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составе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нескольких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граждан,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определенных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финансовых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(как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необременительных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заказчиков)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оперативно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ищут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партнеров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городах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сельской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местности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находят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их,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опираясь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знание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местной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конъюнктуры,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персоналий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обеспечивая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доверительность.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Соединение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формализованного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подхода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продвижение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которому,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бесспорно,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выгодно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расширение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сфер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вовлечение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представителей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регионах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областях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опыт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рекламируется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широко,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поскольку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склонность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заорганизованности,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официозу,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формальному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подходу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мероприятиям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рода.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арабском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личные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ценятся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очень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высоко,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обиходе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придается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большое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значение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личному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знанию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партнера.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Проверка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партнера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небольшом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дает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основания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впоследствии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инициировать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крупные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предприятия,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гарантирующие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безопасность,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возврат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кредита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получение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прибыли.</w:t>
      </w:r>
    </w:p>
    <w:p w:rsidR="00B04457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Естественно,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подобная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практика,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впрочем,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составляющие,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реализована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успешно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благоприятный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климат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поддерживается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уровне.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создана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прочная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законодательная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база,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режим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благоприятствуемой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заключены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соглашения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исключении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двойного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налогообложения,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подписаны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документы,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обеспечивающие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беспрепятственное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операций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трансакций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частного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обоих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совершенно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очевидна.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могут,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используя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влияние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капитала,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стимулировать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заинтересованность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заключении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договоров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соглашений,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позволят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приемлемую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ситуацию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взаимного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сближения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продвижения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бизнеса.</w:t>
      </w:r>
    </w:p>
    <w:p w:rsidR="00433302" w:rsidRPr="00981D24" w:rsidRDefault="00B04457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Совершенно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палат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Аравии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неоспорима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развитии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бизнеса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разного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уровня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укрепления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двумя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сторонами.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Соединение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едином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русле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собственно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делового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обеих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создать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благоприятные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прогресса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9F5FA4" w:rsidRPr="00981D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сотрудничества.</w:t>
      </w:r>
    </w:p>
    <w:p w:rsidR="002176F3" w:rsidRPr="00981D24" w:rsidRDefault="002176F3" w:rsidP="002176F3">
      <w:pPr>
        <w:rPr>
          <w:rFonts w:ascii="Times New Roman" w:hAnsi="Times New Roman"/>
          <w:b/>
          <w:bCs/>
          <w:color w:val="FFFFFF"/>
          <w:sz w:val="28"/>
          <w:szCs w:val="28"/>
        </w:rPr>
      </w:pPr>
      <w:r w:rsidRPr="00981D24">
        <w:rPr>
          <w:rFonts w:ascii="Times New Roman" w:hAnsi="Times New Roman"/>
          <w:b/>
          <w:bCs/>
          <w:color w:val="FFFFFF"/>
          <w:sz w:val="28"/>
          <w:szCs w:val="28"/>
        </w:rPr>
        <w:t xml:space="preserve">российский </w:t>
      </w:r>
      <w:r w:rsidRPr="00981D24">
        <w:rPr>
          <w:rFonts w:ascii="Times New Roman" w:hAnsi="Times New Roman"/>
          <w:b/>
          <w:bCs/>
          <w:color w:val="FFFFFF"/>
          <w:sz w:val="28"/>
          <w:szCs w:val="28"/>
          <w:lang w:eastAsia="ru-RU"/>
        </w:rPr>
        <w:t>саудовски</w:t>
      </w:r>
      <w:r w:rsidRPr="00981D24">
        <w:rPr>
          <w:rFonts w:ascii="Times New Roman" w:hAnsi="Times New Roman"/>
          <w:b/>
          <w:bCs/>
          <w:color w:val="FFFFFF"/>
          <w:sz w:val="28"/>
          <w:szCs w:val="28"/>
        </w:rPr>
        <w:t>й экспортер нефть</w:t>
      </w: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3302" w:rsidRPr="00981D24" w:rsidRDefault="00433302" w:rsidP="009F5FA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B04457" w:rsidRPr="00981D24" w:rsidRDefault="00433302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1)Комар В. РФ и КСА: итоги и перспективы сотрудничества. – М., 2010</w:t>
      </w: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2)Arab Press Digest, July 14, 2005.</w:t>
      </w: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 xml:space="preserve">3)Middle East Economic News Report, No. 26, London, March 11, 2002, </w:t>
      </w:r>
      <w:r w:rsidRPr="00981D2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</w:t>
      </w:r>
      <w:r w:rsidRPr="00981D24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. 13.</w:t>
      </w: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4)Khaleej Times, June 05, 2005.</w:t>
      </w:r>
    </w:p>
    <w:p w:rsidR="009F5FA4" w:rsidRPr="00981D24" w:rsidRDefault="009F5FA4" w:rsidP="009F5F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</w:pPr>
      <w:r w:rsidRPr="00981D24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5)Arab News, February 11, 2003</w:t>
      </w:r>
    </w:p>
    <w:p w:rsidR="00AF5C52" w:rsidRPr="00981D24" w:rsidRDefault="00AF5C52" w:rsidP="00AF5C52">
      <w:pPr>
        <w:spacing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AF5C52" w:rsidRPr="00981D24" w:rsidSect="009F5FA4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A8" w:rsidRDefault="00290CA8" w:rsidP="00433302">
      <w:pPr>
        <w:spacing w:after="0" w:line="240" w:lineRule="auto"/>
      </w:pPr>
      <w:r>
        <w:separator/>
      </w:r>
    </w:p>
  </w:endnote>
  <w:endnote w:type="continuationSeparator" w:id="0">
    <w:p w:rsidR="00290CA8" w:rsidRDefault="00290CA8" w:rsidP="0043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A4" w:rsidRDefault="009F5FA4">
    <w:pPr>
      <w:pStyle w:val="a3"/>
      <w:jc w:val="center"/>
    </w:pPr>
  </w:p>
  <w:p w:rsidR="009F5FA4" w:rsidRDefault="009F5FA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A8" w:rsidRDefault="00290CA8" w:rsidP="00433302">
      <w:pPr>
        <w:spacing w:after="0" w:line="240" w:lineRule="auto"/>
      </w:pPr>
      <w:r>
        <w:separator/>
      </w:r>
    </w:p>
  </w:footnote>
  <w:footnote w:type="continuationSeparator" w:id="0">
    <w:p w:rsidR="00290CA8" w:rsidRDefault="00290CA8" w:rsidP="0043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52" w:rsidRPr="00AF5C52" w:rsidRDefault="00AF5C52" w:rsidP="00AF5C52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8B6"/>
    <w:multiLevelType w:val="multilevel"/>
    <w:tmpl w:val="8F6E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hebrew2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"/>
        <w:szCs w:val="22"/>
      </w:rPr>
    </w:lvl>
    <w:lvl w:ilvl="2">
      <w:start w:val="1"/>
      <w:numFmt w:val="hebrew2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2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"/>
        <w:szCs w:val="22"/>
      </w:rPr>
    </w:lvl>
    <w:lvl w:ilvl="5">
      <w:start w:val="1"/>
      <w:numFmt w:val="hebrew2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hebrew2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"/>
        <w:szCs w:val="22"/>
      </w:rPr>
    </w:lvl>
    <w:lvl w:ilvl="8">
      <w:start w:val="1"/>
      <w:numFmt w:val="hebrew2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">
    <w:nsid w:val="136C4070"/>
    <w:multiLevelType w:val="multilevel"/>
    <w:tmpl w:val="06DEF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43F90"/>
    <w:multiLevelType w:val="hybridMultilevel"/>
    <w:tmpl w:val="B56A3A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245F2A"/>
    <w:multiLevelType w:val="hybridMultilevel"/>
    <w:tmpl w:val="CCAC893A"/>
    <w:lvl w:ilvl="0" w:tplc="EB9C5F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5CF31AA"/>
    <w:multiLevelType w:val="hybridMultilevel"/>
    <w:tmpl w:val="06DEF49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AB35A5"/>
    <w:multiLevelType w:val="singleLevel"/>
    <w:tmpl w:val="27EE4FC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MS Mincho" w:hint="cs"/>
        <w:color w:val="FF0000"/>
        <w:sz w:val="24"/>
      </w:r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F54"/>
    <w:rsid w:val="002176F3"/>
    <w:rsid w:val="00290CA8"/>
    <w:rsid w:val="00323F54"/>
    <w:rsid w:val="003244F4"/>
    <w:rsid w:val="00433302"/>
    <w:rsid w:val="00480347"/>
    <w:rsid w:val="00605B2B"/>
    <w:rsid w:val="00837BD4"/>
    <w:rsid w:val="00981D24"/>
    <w:rsid w:val="009830AD"/>
    <w:rsid w:val="009F5FA4"/>
    <w:rsid w:val="00A73CF3"/>
    <w:rsid w:val="00AF5C52"/>
    <w:rsid w:val="00B011B5"/>
    <w:rsid w:val="00B04457"/>
    <w:rsid w:val="00BB79D9"/>
    <w:rsid w:val="00D01E83"/>
    <w:rsid w:val="00D63006"/>
    <w:rsid w:val="00EE6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6DA4DF-5A30-4A13-B991-6B35D8D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445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0445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04457"/>
    <w:pPr>
      <w:keepNext/>
      <w:widowControl w:val="0"/>
      <w:tabs>
        <w:tab w:val="left" w:pos="9000"/>
      </w:tabs>
      <w:autoSpaceDE w:val="0"/>
      <w:autoSpaceDN w:val="0"/>
      <w:bidi/>
      <w:spacing w:after="0" w:line="360" w:lineRule="auto"/>
      <w:jc w:val="both"/>
      <w:outlineLvl w:val="2"/>
    </w:pPr>
    <w:rPr>
      <w:rFonts w:ascii="Times New Roman" w:hAnsi="Times New Roman"/>
      <w:color w:val="0000FF"/>
      <w:sz w:val="20"/>
      <w:szCs w:val="24"/>
      <w:lang w:val="en-US" w:bidi="he-IL"/>
    </w:rPr>
  </w:style>
  <w:style w:type="paragraph" w:styleId="4">
    <w:name w:val="heading 4"/>
    <w:basedOn w:val="a"/>
    <w:next w:val="a"/>
    <w:link w:val="40"/>
    <w:uiPriority w:val="9"/>
    <w:qFormat/>
    <w:rsid w:val="00B04457"/>
    <w:pPr>
      <w:keepNext/>
      <w:widowControl w:val="0"/>
      <w:autoSpaceDE w:val="0"/>
      <w:autoSpaceDN w:val="0"/>
      <w:bidi/>
      <w:spacing w:after="0" w:line="360" w:lineRule="auto"/>
      <w:jc w:val="both"/>
      <w:outlineLvl w:val="3"/>
    </w:pPr>
    <w:rPr>
      <w:rFonts w:ascii="Times New Roman" w:hAnsi="Times New Roman"/>
      <w:b/>
      <w:bCs/>
      <w:noProof/>
      <w:color w:val="0000FF"/>
      <w:sz w:val="24"/>
      <w:szCs w:val="24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04457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04457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B04457"/>
    <w:rPr>
      <w:rFonts w:ascii="Times New Roman" w:hAnsi="Times New Roman" w:cs="Times New Roman"/>
      <w:color w:val="0000FF"/>
      <w:sz w:val="24"/>
      <w:szCs w:val="24"/>
      <w:lang w:val="en-US" w:eastAsia="x-none" w:bidi="he-IL"/>
    </w:rPr>
  </w:style>
  <w:style w:type="character" w:customStyle="1" w:styleId="40">
    <w:name w:val="Заголовок 4 Знак"/>
    <w:link w:val="4"/>
    <w:uiPriority w:val="9"/>
    <w:locked/>
    <w:rsid w:val="00B04457"/>
    <w:rPr>
      <w:rFonts w:ascii="Times New Roman" w:hAnsi="Times New Roman" w:cs="Times New Roman"/>
      <w:b/>
      <w:bCs/>
      <w:noProof/>
      <w:color w:val="0000FF"/>
      <w:sz w:val="24"/>
      <w:szCs w:val="24"/>
      <w:lang w:val="en-US" w:bidi="he-IL"/>
    </w:rPr>
  </w:style>
  <w:style w:type="paragraph" w:styleId="a3">
    <w:name w:val="footer"/>
    <w:basedOn w:val="a"/>
    <w:link w:val="a4"/>
    <w:uiPriority w:val="99"/>
    <w:rsid w:val="00B044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B0445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uiPriority w:val="99"/>
    <w:rsid w:val="00B04457"/>
    <w:rPr>
      <w:rFonts w:cs="Times New Roman"/>
    </w:rPr>
  </w:style>
  <w:style w:type="paragraph" w:styleId="a6">
    <w:name w:val="header"/>
    <w:basedOn w:val="a"/>
    <w:link w:val="a7"/>
    <w:uiPriority w:val="99"/>
    <w:rsid w:val="00B044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B0445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llowedHyperlink"/>
    <w:uiPriority w:val="99"/>
    <w:rsid w:val="00B04457"/>
    <w:rPr>
      <w:rFonts w:cs="Times New Roman"/>
      <w:color w:val="800080"/>
      <w:u w:val="single"/>
    </w:rPr>
  </w:style>
  <w:style w:type="character" w:styleId="a9">
    <w:name w:val="endnote reference"/>
    <w:uiPriority w:val="99"/>
    <w:semiHidden/>
    <w:rsid w:val="00B04457"/>
    <w:rPr>
      <w:rFonts w:cs="Times New Roman"/>
      <w:vertAlign w:val="superscript"/>
    </w:rPr>
  </w:style>
  <w:style w:type="paragraph" w:styleId="aa">
    <w:name w:val="Body Text Indent"/>
    <w:basedOn w:val="a"/>
    <w:link w:val="ab"/>
    <w:uiPriority w:val="99"/>
    <w:rsid w:val="00B04457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B0445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ody Text"/>
    <w:basedOn w:val="a"/>
    <w:link w:val="ad"/>
    <w:uiPriority w:val="99"/>
    <w:rsid w:val="00B04457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B0445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footnote reference"/>
    <w:uiPriority w:val="99"/>
    <w:semiHidden/>
    <w:rsid w:val="00B04457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B04457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B04457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1">
    <w:name w:val="endnote text"/>
    <w:basedOn w:val="a"/>
    <w:link w:val="af2"/>
    <w:uiPriority w:val="99"/>
    <w:semiHidden/>
    <w:rsid w:val="00B04457"/>
    <w:pPr>
      <w:widowControl w:val="0"/>
      <w:spacing w:before="100" w:after="10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B0445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Название1"/>
    <w:rsid w:val="00B04457"/>
    <w:rPr>
      <w:rFonts w:ascii="Verdana" w:hAnsi="Verdana" w:cs="Times New Roman"/>
      <w:b/>
      <w:bCs/>
      <w:color w:val="030367"/>
      <w:sz w:val="27"/>
      <w:szCs w:val="27"/>
    </w:rPr>
  </w:style>
  <w:style w:type="character" w:customStyle="1" w:styleId="text">
    <w:name w:val="text"/>
    <w:rsid w:val="00B04457"/>
    <w:rPr>
      <w:rFonts w:ascii="Verdana" w:hAnsi="Verdana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0445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0445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3">
    <w:name w:val="Рустам"/>
    <w:basedOn w:val="a"/>
    <w:rsid w:val="00B04457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rsid w:val="00B0445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B0445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4">
    <w:name w:val="Signature"/>
    <w:basedOn w:val="12"/>
    <w:link w:val="af5"/>
    <w:uiPriority w:val="99"/>
    <w:rsid w:val="00B04457"/>
    <w:pPr>
      <w:spacing w:after="57" w:line="200" w:lineRule="atLeast"/>
      <w:ind w:firstLine="0"/>
      <w:jc w:val="center"/>
    </w:pPr>
    <w:rPr>
      <w:i/>
      <w:sz w:val="18"/>
    </w:rPr>
  </w:style>
  <w:style w:type="character" w:customStyle="1" w:styleId="af5">
    <w:name w:val="Подпись Знак"/>
    <w:link w:val="af4"/>
    <w:uiPriority w:val="99"/>
    <w:locked/>
    <w:rsid w:val="00B04457"/>
    <w:rPr>
      <w:rFonts w:ascii="JournalCTT" w:hAnsi="JournalCTT" w:cs="Times New Roman"/>
      <w:i/>
      <w:color w:val="000000"/>
      <w:sz w:val="20"/>
      <w:szCs w:val="20"/>
      <w:lang w:val="x-none" w:eastAsia="ru-RU"/>
    </w:rPr>
  </w:style>
  <w:style w:type="paragraph" w:customStyle="1" w:styleId="12">
    <w:name w:val="Основной текст1"/>
    <w:rsid w:val="00B04457"/>
    <w:pPr>
      <w:overflowPunct w:val="0"/>
      <w:autoSpaceDE w:val="0"/>
      <w:autoSpaceDN w:val="0"/>
      <w:adjustRightInd w:val="0"/>
      <w:spacing w:line="220" w:lineRule="atLeast"/>
      <w:ind w:firstLine="283"/>
      <w:jc w:val="both"/>
      <w:textAlignment w:val="baseline"/>
    </w:pPr>
    <w:rPr>
      <w:rFonts w:ascii="JournalCTT" w:hAnsi="JournalCTT" w:cs="Times New Roman"/>
      <w:color w:val="000000"/>
    </w:rPr>
  </w:style>
  <w:style w:type="character" w:customStyle="1" w:styleId="kw">
    <w:name w:val="kw"/>
    <w:rsid w:val="00B04457"/>
    <w:rPr>
      <w:rFonts w:cs="Times New Roman"/>
    </w:rPr>
  </w:style>
  <w:style w:type="character" w:customStyle="1" w:styleId="frag">
    <w:name w:val="frag"/>
    <w:rsid w:val="00B04457"/>
    <w:rPr>
      <w:rFonts w:cs="Times New Roman"/>
    </w:rPr>
  </w:style>
  <w:style w:type="character" w:styleId="HTML">
    <w:name w:val="HTML Code"/>
    <w:uiPriority w:val="99"/>
    <w:rsid w:val="00B04457"/>
    <w:rPr>
      <w:rFonts w:ascii="Courier New" w:hAnsi="Courier New" w:cs="Courier New"/>
      <w:sz w:val="20"/>
      <w:szCs w:val="20"/>
    </w:rPr>
  </w:style>
  <w:style w:type="character" w:styleId="af6">
    <w:name w:val="Hyperlink"/>
    <w:uiPriority w:val="99"/>
    <w:rsid w:val="00B04457"/>
    <w:rPr>
      <w:rFonts w:cs="Times New Roman"/>
      <w:color w:val="0000FF"/>
      <w:u w:val="single"/>
    </w:rPr>
  </w:style>
  <w:style w:type="character" w:customStyle="1" w:styleId="printtitle1">
    <w:name w:val="print_title1"/>
    <w:rsid w:val="00B04457"/>
    <w:rPr>
      <w:rFonts w:ascii="Arial" w:hAnsi="Arial" w:cs="Arial"/>
      <w:b/>
      <w:bCs/>
      <w:color w:val="666666"/>
      <w:sz w:val="21"/>
      <w:szCs w:val="21"/>
    </w:rPr>
  </w:style>
  <w:style w:type="paragraph" w:styleId="31">
    <w:name w:val="Body Text Indent 3"/>
    <w:basedOn w:val="a"/>
    <w:link w:val="32"/>
    <w:uiPriority w:val="99"/>
    <w:rsid w:val="00B0445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B04457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7">
    <w:name w:val="Normal (Web)"/>
    <w:basedOn w:val="a"/>
    <w:uiPriority w:val="99"/>
    <w:rsid w:val="00B04457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B0445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8">
    <w:name w:val="Strong"/>
    <w:uiPriority w:val="22"/>
    <w:qFormat/>
    <w:rsid w:val="00B04457"/>
    <w:rPr>
      <w:rFonts w:cs="Times New Roman"/>
      <w:b/>
      <w:bCs/>
    </w:rPr>
  </w:style>
  <w:style w:type="character" w:customStyle="1" w:styleId="rightpodheadstyle1">
    <w:name w:val="rightpodheadstyle1"/>
    <w:rsid w:val="00B04457"/>
    <w:rPr>
      <w:rFonts w:ascii="Verdana" w:hAnsi="Verdana" w:cs="Times New Roman"/>
      <w:color w:val="737373"/>
      <w:sz w:val="18"/>
      <w:szCs w:val="18"/>
    </w:rPr>
  </w:style>
  <w:style w:type="character" w:customStyle="1" w:styleId="righttextstyle1">
    <w:name w:val="righttextstyle1"/>
    <w:rsid w:val="00B04457"/>
    <w:rPr>
      <w:rFonts w:ascii="Tahoma" w:hAnsi="Tahoma" w:cs="Tahoma"/>
      <w:color w:val="000000"/>
      <w:sz w:val="18"/>
      <w:szCs w:val="18"/>
    </w:rPr>
  </w:style>
  <w:style w:type="paragraph" w:customStyle="1" w:styleId="33">
    <w:name w:val="3ДА"/>
    <w:basedOn w:val="a"/>
    <w:rsid w:val="00B0445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H2">
    <w:name w:val="H2"/>
    <w:basedOn w:val="a"/>
    <w:next w:val="a"/>
    <w:rsid w:val="00B04457"/>
    <w:pPr>
      <w:keepNext/>
      <w:snapToGri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af9">
    <w:name w:val="Title"/>
    <w:basedOn w:val="a"/>
    <w:link w:val="afa"/>
    <w:uiPriority w:val="10"/>
    <w:qFormat/>
    <w:rsid w:val="00B04457"/>
    <w:pPr>
      <w:widowControl w:val="0"/>
      <w:autoSpaceDE w:val="0"/>
      <w:autoSpaceDN w:val="0"/>
      <w:bidi/>
      <w:spacing w:after="0" w:line="240" w:lineRule="auto"/>
      <w:jc w:val="center"/>
    </w:pPr>
    <w:rPr>
      <w:rFonts w:ascii="Times New Roman" w:hAnsi="Times New Roman"/>
      <w:color w:val="FF0000"/>
      <w:sz w:val="24"/>
      <w:szCs w:val="24"/>
      <w:lang w:val="en-US" w:bidi="he-IL"/>
    </w:rPr>
  </w:style>
  <w:style w:type="character" w:customStyle="1" w:styleId="afa">
    <w:name w:val="Название Знак"/>
    <w:link w:val="af9"/>
    <w:uiPriority w:val="10"/>
    <w:locked/>
    <w:rsid w:val="00B04457"/>
    <w:rPr>
      <w:rFonts w:ascii="Times New Roman" w:hAnsi="Times New Roman" w:cs="Times New Roman"/>
      <w:color w:val="FF0000"/>
      <w:sz w:val="24"/>
      <w:szCs w:val="24"/>
      <w:lang w:val="en-US" w:eastAsia="x-none" w:bidi="he-IL"/>
    </w:rPr>
  </w:style>
  <w:style w:type="paragraph" w:styleId="afb">
    <w:name w:val="Block Text"/>
    <w:basedOn w:val="a"/>
    <w:uiPriority w:val="99"/>
    <w:rsid w:val="00B04457"/>
    <w:pPr>
      <w:widowControl w:val="0"/>
      <w:autoSpaceDE w:val="0"/>
      <w:autoSpaceDN w:val="0"/>
      <w:bidi/>
      <w:spacing w:after="0" w:line="240" w:lineRule="auto"/>
      <w:ind w:left="567" w:right="567"/>
      <w:jc w:val="both"/>
    </w:pPr>
    <w:rPr>
      <w:rFonts w:ascii="Times New Roman" w:hAnsi="Times New Roman"/>
      <w:color w:val="0000FF"/>
      <w:sz w:val="24"/>
      <w:szCs w:val="24"/>
      <w:lang w:val="en-US" w:bidi="he-IL"/>
    </w:rPr>
  </w:style>
  <w:style w:type="paragraph" w:styleId="afc">
    <w:name w:val="Subtitle"/>
    <w:basedOn w:val="a"/>
    <w:link w:val="afd"/>
    <w:uiPriority w:val="11"/>
    <w:qFormat/>
    <w:rsid w:val="00B04457"/>
    <w:pPr>
      <w:widowControl w:val="0"/>
      <w:tabs>
        <w:tab w:val="left" w:pos="9000"/>
      </w:tabs>
      <w:autoSpaceDE w:val="0"/>
      <w:autoSpaceDN w:val="0"/>
      <w:bidi/>
      <w:spacing w:after="0" w:line="240" w:lineRule="auto"/>
      <w:jc w:val="both"/>
    </w:pPr>
    <w:rPr>
      <w:rFonts w:ascii="Times New Roman" w:hAnsi="Times New Roman"/>
      <w:color w:val="0000FF"/>
      <w:sz w:val="20"/>
      <w:szCs w:val="32"/>
      <w:lang w:val="en-US" w:bidi="he-IL"/>
    </w:rPr>
  </w:style>
  <w:style w:type="character" w:customStyle="1" w:styleId="afd">
    <w:name w:val="Подзаголовок Знак"/>
    <w:link w:val="afc"/>
    <w:uiPriority w:val="11"/>
    <w:locked/>
    <w:rsid w:val="00B04457"/>
    <w:rPr>
      <w:rFonts w:ascii="Times New Roman" w:hAnsi="Times New Roman" w:cs="Times New Roman"/>
      <w:color w:val="0000FF"/>
      <w:sz w:val="32"/>
      <w:szCs w:val="32"/>
      <w:lang w:val="en-US" w:eastAsia="x-none" w:bidi="he-IL"/>
    </w:rPr>
  </w:style>
  <w:style w:type="character" w:customStyle="1" w:styleId="hl1">
    <w:name w:val="hl1"/>
    <w:rsid w:val="00B04457"/>
    <w:rPr>
      <w:rFonts w:cs="Times New Roman"/>
      <w:sz w:val="22"/>
      <w:szCs w:val="22"/>
    </w:rPr>
  </w:style>
  <w:style w:type="character" w:customStyle="1" w:styleId="hu1">
    <w:name w:val="hu1"/>
    <w:rsid w:val="00B04457"/>
    <w:rPr>
      <w:rFonts w:cs="Times New Roman"/>
      <w:sz w:val="22"/>
      <w:szCs w:val="22"/>
    </w:rPr>
  </w:style>
  <w:style w:type="paragraph" w:customStyle="1" w:styleId="13">
    <w:name w:val="Обычный1"/>
    <w:rsid w:val="00B04457"/>
    <w:pPr>
      <w:autoSpaceDE w:val="0"/>
      <w:autoSpaceDN w:val="0"/>
    </w:pPr>
    <w:rPr>
      <w:rFonts w:ascii="Times New Roman" w:hAnsi="Times New Roman" w:cs="Times New Roman"/>
      <w:lang w:eastAsia="he-IL" w:bidi="he-IL"/>
    </w:rPr>
  </w:style>
  <w:style w:type="paragraph" w:styleId="34">
    <w:name w:val="Body Text 3"/>
    <w:basedOn w:val="a"/>
    <w:link w:val="35"/>
    <w:uiPriority w:val="99"/>
    <w:rsid w:val="00B0445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locked/>
    <w:rsid w:val="00B0445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Par">
    <w:name w:val="NormalPar"/>
    <w:rsid w:val="00B0445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 w:bidi="he-IL"/>
    </w:rPr>
  </w:style>
  <w:style w:type="character" w:customStyle="1" w:styleId="endnotereference">
    <w:name w:val="endnote_reference"/>
    <w:rsid w:val="00B04457"/>
    <w:rPr>
      <w:rFonts w:ascii="Times New Roman" w:hAnsi="Times New Roman" w:cs="Times New Roman"/>
    </w:rPr>
  </w:style>
  <w:style w:type="paragraph" w:customStyle="1" w:styleId="NormalWeb">
    <w:name w:val="Normal_(Web)"/>
    <w:basedOn w:val="a"/>
    <w:rsid w:val="00B04457"/>
    <w:pPr>
      <w:autoSpaceDE w:val="0"/>
      <w:autoSpaceDN w:val="0"/>
      <w:bidi/>
      <w:adjustRightInd w:val="0"/>
      <w:spacing w:before="100" w:after="100" w:line="240" w:lineRule="auto"/>
      <w:jc w:val="right"/>
    </w:pPr>
    <w:rPr>
      <w:rFonts w:ascii="Times New Roman" w:hAnsi="Times New Roman"/>
      <w:noProof/>
      <w:sz w:val="24"/>
      <w:szCs w:val="24"/>
      <w:lang w:val="en-US" w:bidi="he-IL"/>
    </w:rPr>
  </w:style>
  <w:style w:type="character" w:customStyle="1" w:styleId="n2-date">
    <w:name w:val="n2-date"/>
    <w:rsid w:val="00B04457"/>
    <w:rPr>
      <w:rFonts w:ascii="Times New Roman" w:hAnsi="Times New Roman" w:cs="Times New Roman"/>
    </w:rPr>
  </w:style>
  <w:style w:type="paragraph" w:customStyle="1" w:styleId="14">
    <w:name w:val="Обычный (веб)1"/>
    <w:basedOn w:val="a"/>
    <w:rsid w:val="00B044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he-IL" w:bidi="he-IL"/>
    </w:rPr>
  </w:style>
  <w:style w:type="character" w:customStyle="1" w:styleId="t11">
    <w:name w:val="t11"/>
    <w:rsid w:val="00B04457"/>
    <w:rPr>
      <w:rFonts w:ascii="Times New Roman" w:hAnsi="Times New Roman" w:cs="Times New Roman"/>
    </w:rPr>
  </w:style>
  <w:style w:type="character" w:customStyle="1" w:styleId="endnotereference21">
    <w:name w:val="endnote_reference21"/>
    <w:rsid w:val="00B04457"/>
    <w:rPr>
      <w:rFonts w:ascii="Arial" w:hAnsi="Arial"/>
    </w:rPr>
  </w:style>
  <w:style w:type="character" w:customStyle="1" w:styleId="n2-text">
    <w:name w:val="n2-text"/>
    <w:rsid w:val="00B04457"/>
  </w:style>
  <w:style w:type="character" w:customStyle="1" w:styleId="15">
    <w:name w:val="Верхний колонтитул1"/>
    <w:rsid w:val="00B04457"/>
    <w:rPr>
      <w:rFonts w:cs="Times New Roman"/>
    </w:rPr>
  </w:style>
  <w:style w:type="paragraph" w:customStyle="1" w:styleId="endnotetext">
    <w:name w:val="endnote_text"/>
    <w:basedOn w:val="a"/>
    <w:rsid w:val="00B04457"/>
    <w:pPr>
      <w:autoSpaceDE w:val="0"/>
      <w:autoSpaceDN w:val="0"/>
      <w:bidi/>
      <w:adjustRightInd w:val="0"/>
      <w:spacing w:after="0" w:line="240" w:lineRule="auto"/>
      <w:jc w:val="right"/>
    </w:pPr>
    <w:rPr>
      <w:rFonts w:ascii="Arial" w:hAnsi="Arial" w:cs="Arial"/>
      <w:noProof/>
      <w:sz w:val="20"/>
      <w:szCs w:val="24"/>
      <w:lang w:val="en-US" w:bidi="he-IL"/>
    </w:rPr>
  </w:style>
  <w:style w:type="character" w:customStyle="1" w:styleId="text1">
    <w:name w:val="text1"/>
    <w:rsid w:val="00B04457"/>
    <w:rPr>
      <w:rFonts w:ascii="Verdana" w:hAnsi="Verdana"/>
      <w:color w:val="000000"/>
      <w:sz w:val="18"/>
    </w:rPr>
  </w:style>
  <w:style w:type="character" w:styleId="afe">
    <w:name w:val="Emphasis"/>
    <w:uiPriority w:val="20"/>
    <w:qFormat/>
    <w:rsid w:val="00B04457"/>
    <w:rPr>
      <w:rFonts w:ascii="Times New Roman" w:hAnsi="Times New Roman" w:cs="Times New Roman"/>
      <w:i/>
    </w:rPr>
  </w:style>
  <w:style w:type="character" w:customStyle="1" w:styleId="endnotereference2123">
    <w:name w:val="endnote_reference2123"/>
    <w:rsid w:val="00B04457"/>
    <w:rPr>
      <w:rFonts w:ascii="Arial" w:hAnsi="Arial"/>
    </w:rPr>
  </w:style>
  <w:style w:type="paragraph" w:customStyle="1" w:styleId="endnotetext34">
    <w:name w:val="endnote_text34"/>
    <w:basedOn w:val="a"/>
    <w:rsid w:val="00B04457"/>
    <w:pPr>
      <w:autoSpaceDE w:val="0"/>
      <w:autoSpaceDN w:val="0"/>
      <w:bidi/>
      <w:adjustRightInd w:val="0"/>
      <w:spacing w:after="0" w:line="240" w:lineRule="auto"/>
      <w:jc w:val="right"/>
    </w:pPr>
    <w:rPr>
      <w:rFonts w:ascii="Arial" w:hAnsi="Arial" w:cs="Arial"/>
      <w:noProof/>
      <w:sz w:val="20"/>
      <w:szCs w:val="24"/>
      <w:lang w:val="en-US" w:bidi="he-IL"/>
    </w:rPr>
  </w:style>
  <w:style w:type="character" w:customStyle="1" w:styleId="t13">
    <w:name w:val="t13"/>
    <w:rsid w:val="00B04457"/>
    <w:rPr>
      <w:rFonts w:ascii="Times New Roman" w:hAnsi="Times New Roman" w:cs="Times New Roman"/>
    </w:rPr>
  </w:style>
  <w:style w:type="character" w:customStyle="1" w:styleId="footnotereference">
    <w:name w:val="footnote_reference"/>
    <w:rsid w:val="00B04457"/>
    <w:rPr>
      <w:rFonts w:ascii="Times New Roman" w:hAnsi="Times New Roman" w:cs="Times New Roman"/>
    </w:rPr>
  </w:style>
  <w:style w:type="character" w:customStyle="1" w:styleId="HTMLTypewriter">
    <w:name w:val="HTML_Typewriter"/>
    <w:rsid w:val="00B04457"/>
    <w:rPr>
      <w:rFonts w:ascii="Times New Roman" w:hAnsi="Times New Roman" w:cs="Times New Roman"/>
      <w:sz w:val="20"/>
    </w:rPr>
  </w:style>
  <w:style w:type="paragraph" w:styleId="aff">
    <w:name w:val="List Paragraph"/>
    <w:basedOn w:val="a"/>
    <w:uiPriority w:val="34"/>
    <w:qFormat/>
    <w:rsid w:val="0043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7772</Words>
  <Characters>44302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Мотя</dc:creator>
  <cp:keywords/>
  <dc:description/>
  <cp:lastModifiedBy>admin</cp:lastModifiedBy>
  <cp:revision>2</cp:revision>
  <dcterms:created xsi:type="dcterms:W3CDTF">2014-03-25T10:01:00Z</dcterms:created>
  <dcterms:modified xsi:type="dcterms:W3CDTF">2014-03-25T10:01:00Z</dcterms:modified>
</cp:coreProperties>
</file>