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6E" w:rsidRDefault="00381E2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346258259"/>
      <w:bookmarkStart w:id="1" w:name="_Toc346268818"/>
      <w:bookmarkStart w:id="2" w:name="_Toc3893186"/>
      <w:r>
        <w:rPr>
          <w:b/>
          <w:bCs/>
          <w:color w:val="000000"/>
          <w:sz w:val="32"/>
          <w:szCs w:val="32"/>
        </w:rPr>
        <w:t>Электромагнитное поле</w:t>
      </w:r>
      <w:bookmarkEnd w:id="0"/>
      <w:bookmarkEnd w:id="1"/>
      <w:bookmarkEnd w:id="2"/>
      <w:r>
        <w:rPr>
          <w:b/>
          <w:bCs/>
          <w:color w:val="000000"/>
          <w:sz w:val="32"/>
          <w:szCs w:val="32"/>
        </w:rPr>
        <w:t>. Различные виды излучений.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 возникновения — промышленные установки, радиотехнические объекты, мед. аппаратура, установки пищевой промышленности.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" w:name="_Toc346258260"/>
      <w:bookmarkStart w:id="4" w:name="_Toc346268819"/>
      <w:bookmarkStart w:id="5" w:name="_Toc3893187"/>
      <w:r>
        <w:rPr>
          <w:color w:val="000000"/>
          <w:sz w:val="24"/>
          <w:szCs w:val="24"/>
        </w:rPr>
        <w:t>Характеристики эл.магнитного поля:</w:t>
      </w:r>
      <w:bookmarkEnd w:id="3"/>
      <w:bookmarkEnd w:id="4"/>
      <w:bookmarkEnd w:id="5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длина волны, [м]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частота колебаний [Гц]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C"/>
      </w:r>
      <w:r>
        <w:rPr>
          <w:color w:val="000000"/>
          <w:sz w:val="24"/>
          <w:szCs w:val="24"/>
        </w:rPr>
        <w:t xml:space="preserve"> = VC/f, где VC = 3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10 м/с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Номенклатура диапазонов частот (длин волн) по регламенту радиосвязи: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1724"/>
        <w:gridCol w:w="1724"/>
        <w:gridCol w:w="2246"/>
      </w:tblGrid>
      <w:tr w:rsidR="00B8196E">
        <w:tc>
          <w:tcPr>
            <w:tcW w:w="1136" w:type="dxa"/>
            <w:tcBorders>
              <w:bottom w:val="double" w:sz="6" w:space="0" w:color="auto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диапазона</w:t>
            </w:r>
          </w:p>
        </w:tc>
        <w:tc>
          <w:tcPr>
            <w:tcW w:w="1724" w:type="dxa"/>
            <w:tcBorders>
              <w:bottom w:val="double" w:sz="6" w:space="0" w:color="auto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Диапазон частот f, Гц</w:t>
            </w:r>
          </w:p>
        </w:tc>
        <w:tc>
          <w:tcPr>
            <w:tcW w:w="1724" w:type="dxa"/>
            <w:tcBorders>
              <w:bottom w:val="double" w:sz="6" w:space="0" w:color="auto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Диапазон длин волн </w:t>
            </w:r>
          </w:p>
        </w:tc>
        <w:tc>
          <w:tcPr>
            <w:tcW w:w="2246" w:type="dxa"/>
            <w:tcBorders>
              <w:bottom w:val="double" w:sz="6" w:space="0" w:color="auto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Соотв. метрическое подразд.</w:t>
            </w:r>
          </w:p>
        </w:tc>
      </w:tr>
      <w:tr w:rsidR="00B8196E">
        <w:tc>
          <w:tcPr>
            <w:tcW w:w="1136" w:type="dxa"/>
            <w:tcBorders>
              <w:top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24" w:type="dxa"/>
            <w:tcBorders>
              <w:top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30-300 кГц</w:t>
            </w:r>
          </w:p>
        </w:tc>
        <w:tc>
          <w:tcPr>
            <w:tcW w:w="1724" w:type="dxa"/>
            <w:tcBorders>
              <w:top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104-103</w:t>
            </w:r>
          </w:p>
        </w:tc>
        <w:tc>
          <w:tcPr>
            <w:tcW w:w="2246" w:type="dxa"/>
            <w:tcBorders>
              <w:top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НЧ</w:t>
            </w:r>
          </w:p>
        </w:tc>
      </w:tr>
      <w:tr w:rsidR="00B8196E">
        <w:tc>
          <w:tcPr>
            <w:tcW w:w="113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24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300-3000 кГц</w:t>
            </w:r>
          </w:p>
        </w:tc>
        <w:tc>
          <w:tcPr>
            <w:tcW w:w="1724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103-102</w:t>
            </w:r>
          </w:p>
        </w:tc>
        <w:tc>
          <w:tcPr>
            <w:tcW w:w="224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СЧ (гектометровые)</w:t>
            </w:r>
          </w:p>
        </w:tc>
      </w:tr>
      <w:tr w:rsidR="00B8196E">
        <w:tc>
          <w:tcPr>
            <w:tcW w:w="113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24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3-30 МГц</w:t>
            </w:r>
          </w:p>
        </w:tc>
        <w:tc>
          <w:tcPr>
            <w:tcW w:w="1724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102-10</w:t>
            </w:r>
          </w:p>
        </w:tc>
        <w:tc>
          <w:tcPr>
            <w:tcW w:w="224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ВЧ (декометровые)</w:t>
            </w:r>
          </w:p>
        </w:tc>
      </w:tr>
      <w:tr w:rsidR="00B8196E">
        <w:tc>
          <w:tcPr>
            <w:tcW w:w="113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24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30-300 МГц</w:t>
            </w:r>
          </w:p>
        </w:tc>
        <w:tc>
          <w:tcPr>
            <w:tcW w:w="1724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</w:t>
            </w:r>
          </w:p>
        </w:tc>
        <w:tc>
          <w:tcPr>
            <w:tcW w:w="224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метровые</w:t>
            </w:r>
          </w:p>
        </w:tc>
      </w:tr>
      <w:tr w:rsidR="00B8196E">
        <w:tc>
          <w:tcPr>
            <w:tcW w:w="113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24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300-3000 МГц</w:t>
            </w:r>
          </w:p>
        </w:tc>
        <w:tc>
          <w:tcPr>
            <w:tcW w:w="1724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1-0,1</w:t>
            </w:r>
          </w:p>
        </w:tc>
        <w:tc>
          <w:tcPr>
            <w:tcW w:w="224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УВЧ (дециметровые)</w:t>
            </w:r>
          </w:p>
        </w:tc>
      </w:tr>
      <w:tr w:rsidR="00B8196E">
        <w:tc>
          <w:tcPr>
            <w:tcW w:w="113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24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3-30 ГГц</w:t>
            </w:r>
          </w:p>
        </w:tc>
        <w:tc>
          <w:tcPr>
            <w:tcW w:w="1724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 см</w:t>
            </w:r>
          </w:p>
        </w:tc>
        <w:tc>
          <w:tcPr>
            <w:tcW w:w="224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СВЧ (сантиметровые)</w:t>
            </w:r>
          </w:p>
        </w:tc>
      </w:tr>
      <w:tr w:rsidR="00B8196E">
        <w:tc>
          <w:tcPr>
            <w:tcW w:w="113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4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30-300 ГГц</w:t>
            </w:r>
          </w:p>
        </w:tc>
        <w:tc>
          <w:tcPr>
            <w:tcW w:w="1724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1-0,1 см</w:t>
            </w:r>
          </w:p>
        </w:tc>
        <w:tc>
          <w:tcPr>
            <w:tcW w:w="224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КВЧ (милиметровые)</w:t>
            </w:r>
          </w:p>
        </w:tc>
      </w:tr>
    </w:tbl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Эл. магн. поля НЧ часто используются в промышленном производстве (установках) - термическая обработка.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ВЧ — радиосвязь, медицина, ТВ, радиовещание.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УВЧ — радиолокация, навигация, медицина, пищевая промышленность.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Пространство вокруг источника эл. поля условно подразделяется на зоны: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ближнего (зону индукции);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дальнего (зону излучения).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Граница между зонами является величина: R=</w:t>
      </w:r>
      <w:r>
        <w:rPr>
          <w:color w:val="000000"/>
          <w:sz w:val="24"/>
          <w:szCs w:val="24"/>
        </w:rPr>
        <w:sym w:font="Symbol" w:char="F06C"/>
      </w:r>
      <w:r>
        <w:rPr>
          <w:color w:val="000000"/>
          <w:sz w:val="24"/>
          <w:szCs w:val="24"/>
        </w:rPr>
        <w:t>/2</w:t>
      </w:r>
      <w:r>
        <w:rPr>
          <w:color w:val="000000"/>
          <w:sz w:val="24"/>
          <w:szCs w:val="24"/>
        </w:rPr>
        <w:sym w:font="Symbol" w:char="F070"/>
      </w:r>
      <w:r>
        <w:rPr>
          <w:color w:val="000000"/>
          <w:sz w:val="24"/>
          <w:szCs w:val="24"/>
        </w:rPr>
        <w:t>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расположения зоны, характеристиками эл.магн. поля является: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— в ближней зоне 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 xml:space="preserve"> составляющая вектора напряженности эл. поля [В/м]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составляющая вектора напряженности магнитного поля [А/м]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— в дальней зоне 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 xml:space="preserve"> используется энергетическая характеристика: интенсивность плотности потока энергии [Вт/м2],[мкВт/см2].</w:t>
      </w:r>
    </w:p>
    <w:p w:rsidR="00B8196E" w:rsidRDefault="00381E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6" w:name="_Toc346258261"/>
      <w:bookmarkStart w:id="7" w:name="_Toc346268820"/>
      <w:bookmarkStart w:id="8" w:name="_Toc3893188"/>
      <w:r>
        <w:rPr>
          <w:b/>
          <w:bCs/>
          <w:color w:val="000000"/>
          <w:sz w:val="28"/>
          <w:szCs w:val="28"/>
        </w:rPr>
        <w:t>Вредное воздействие эл. магнитных полей</w:t>
      </w:r>
      <w:bookmarkEnd w:id="6"/>
      <w:bookmarkEnd w:id="7"/>
      <w:bookmarkEnd w:id="8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Эл. магн. поле большой интенсивности приводит к перегреву тканей, воздействует на органы зрения и органы половой сферы. Умеренной интенсивности: нарушение д-ти центральной нервной системы; сердечно-сосудистой; нарушаются биологические процессы в тканях и клетках. Малой интенсивности: повышение утомляемости, головные боли; выпадение волос.</w:t>
      </w:r>
    </w:p>
    <w:p w:rsidR="00B8196E" w:rsidRDefault="00381E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9" w:name="_Toc346258262"/>
      <w:bookmarkStart w:id="10" w:name="_Toc346268821"/>
      <w:bookmarkStart w:id="11" w:name="_Toc3893189"/>
      <w:r>
        <w:rPr>
          <w:b/>
          <w:bCs/>
          <w:color w:val="000000"/>
          <w:sz w:val="28"/>
          <w:szCs w:val="28"/>
        </w:rPr>
        <w:t>Нормирование эл. магн. полей</w:t>
      </w:r>
      <w:bookmarkEnd w:id="9"/>
      <w:bookmarkEnd w:id="10"/>
      <w:bookmarkEnd w:id="11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ГОСТ 12.1.006-84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Нормируемым параметром эл. магн. поля в диапазоне частот 60 кГц-300 МГц является предельно-допустимое значение составляющих напряженностей эл. и магнитных полей.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Нормируемым параметром эл. магн. поля в диапазоне частот 300 МГц-300 ГГц является предельно-допустимое значение плотности потока энергии.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ППЭПД -</w:t>
      </w:r>
      <w:r>
        <w:rPr>
          <w:color w:val="000000"/>
          <w:sz w:val="24"/>
          <w:szCs w:val="24"/>
        </w:rPr>
        <w:tab/>
        <w:t>предельное значение плотности потока энергии [Вт/м2],[мкВт/см2]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Пред. величина ППЭпд не более 10 Вт/м2 ; 1000 мкВт/см2 в производственном помещении.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жилой застройке при круглосуточном облучении в соответствии с СН </w:t>
      </w:r>
      <w:r>
        <w:rPr>
          <w:color w:val="000000"/>
          <w:sz w:val="24"/>
          <w:szCs w:val="24"/>
        </w:rPr>
        <w:sym w:font="Symbol" w:char="F0DE"/>
      </w:r>
      <w:r>
        <w:rPr>
          <w:color w:val="000000"/>
          <w:sz w:val="24"/>
          <w:szCs w:val="24"/>
        </w:rPr>
        <w:t xml:space="preserve"> ППЭпд не более 5 мкВт/см2.</w:t>
      </w:r>
    </w:p>
    <w:p w:rsidR="00B8196E" w:rsidRDefault="00381E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2" w:name="_Toc346258263"/>
      <w:bookmarkStart w:id="13" w:name="_Toc346268822"/>
      <w:bookmarkStart w:id="14" w:name="_Toc3893190"/>
      <w:r>
        <w:rPr>
          <w:b/>
          <w:bCs/>
          <w:color w:val="000000"/>
          <w:sz w:val="28"/>
          <w:szCs w:val="28"/>
        </w:rPr>
        <w:t>Мероприятия по защите от воздействия электромагнитных полей.</w:t>
      </w:r>
      <w:bookmarkEnd w:id="12"/>
      <w:bookmarkEnd w:id="13"/>
      <w:bookmarkEnd w:id="14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Уменьшение составляющих напряженностей электрического и магнитного полей в зоне индукции, в зоне излучения — уменьшение плотности потока энергии, если позволяет данный технологический процесс или оборудование. 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временем (ограничение время пребывания в зоне источника эл. магн. поля).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расстоянием (60 — 80 мм от экрана).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экранирования рабочего места или источника излучения электромагнитного поля.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Рациональная планировка рабочего места относительно истинного излучения эл. магн. поля.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Применение средств предупредительной сигнализации.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Применение средств индивидуальной защиты.</w:t>
      </w:r>
    </w:p>
    <w:p w:rsidR="00B8196E" w:rsidRDefault="00381E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5" w:name="_Toc346258264"/>
      <w:bookmarkStart w:id="16" w:name="_Toc346268823"/>
      <w:bookmarkStart w:id="17" w:name="_Toc3893191"/>
      <w:r>
        <w:rPr>
          <w:b/>
          <w:bCs/>
          <w:color w:val="000000"/>
          <w:sz w:val="28"/>
          <w:szCs w:val="28"/>
        </w:rPr>
        <w:t>Инфракрасное излучение.</w:t>
      </w:r>
      <w:bookmarkEnd w:id="15"/>
      <w:bookmarkEnd w:id="16"/>
      <w:bookmarkEnd w:id="17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Истинным ИФ излучением являются нагретые поверхности (</w:t>
      </w:r>
      <w:r>
        <w:rPr>
          <w:color w:val="000000"/>
          <w:sz w:val="24"/>
          <w:szCs w:val="24"/>
        </w:rPr>
        <w:sym w:font="Symbol" w:char="F03E"/>
      </w:r>
      <w:r>
        <w:rPr>
          <w:color w:val="000000"/>
          <w:sz w:val="24"/>
          <w:szCs w:val="24"/>
        </w:rPr>
        <w:t xml:space="preserve"> 0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С).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ИФ излучения играют важную роль в теплообмене человека с окружающей средой </w:t>
      </w:r>
      <w:r>
        <w:rPr>
          <w:color w:val="000000"/>
          <w:sz w:val="24"/>
          <w:szCs w:val="24"/>
        </w:rPr>
        <w:sym w:font="Symbol" w:char="F0DE"/>
      </w:r>
      <w:r>
        <w:rPr>
          <w:color w:val="000000"/>
          <w:sz w:val="24"/>
          <w:szCs w:val="24"/>
        </w:rPr>
        <w:t xml:space="preserve"> терморегуляции организма человека.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области А ИФ излучение обладает следующими вредными воздействиями :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Большая проникающая способность через поверхность кожи.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Поглощение кровью и подкожной жировой клетчаткой.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органызрения (хрусталик 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 xml:space="preserve"> помутнение).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8" w:name="_Toc346258265"/>
      <w:bookmarkStart w:id="19" w:name="_Toc346268824"/>
      <w:bookmarkStart w:id="20" w:name="_Toc3893192"/>
      <w:r>
        <w:rPr>
          <w:color w:val="000000"/>
          <w:sz w:val="24"/>
          <w:szCs w:val="24"/>
        </w:rPr>
        <w:t>Нормирование ИФ излучения.</w:t>
      </w:r>
      <w:bookmarkEnd w:id="18"/>
      <w:bookmarkEnd w:id="19"/>
      <w:bookmarkEnd w:id="20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Воздействие ИФ излучения оценивается плотностью потока энергии на рабочем месте. ГОСТ 12.1.005 — 88 Общие санитарно-гигиенические требования в области рабочей зоны.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Область ИФ излучения.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339"/>
        <w:gridCol w:w="1100"/>
        <w:gridCol w:w="1401"/>
        <w:gridCol w:w="1926"/>
      </w:tblGrid>
      <w:tr w:rsidR="00B8196E">
        <w:tc>
          <w:tcPr>
            <w:tcW w:w="1063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Область ИФ излучения</w:t>
            </w:r>
          </w:p>
        </w:tc>
        <w:tc>
          <w:tcPr>
            <w:tcW w:w="1339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6C"/>
            </w:r>
          </w:p>
        </w:tc>
        <w:tc>
          <w:tcPr>
            <w:tcW w:w="1100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Доп. АПЭ Вт/м2 не более</w:t>
            </w:r>
          </w:p>
        </w:tc>
        <w:tc>
          <w:tcPr>
            <w:tcW w:w="1401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Доп. Интер. ППЭ, Вт/м2 не более</w:t>
            </w:r>
          </w:p>
        </w:tc>
        <w:tc>
          <w:tcPr>
            <w:tcW w:w="192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B8196E">
        <w:tc>
          <w:tcPr>
            <w:tcW w:w="1063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339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 — 1500</w:t>
            </w:r>
          </w:p>
        </w:tc>
        <w:tc>
          <w:tcPr>
            <w:tcW w:w="1100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1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92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учетом облучения поверхности тела не более S </w:t>
            </w:r>
            <w:r>
              <w:rPr>
                <w:color w:val="000000"/>
                <w:sz w:val="24"/>
                <w:szCs w:val="24"/>
              </w:rPr>
              <w:sym w:font="Symbol" w:char="F0B3"/>
            </w:r>
            <w:r>
              <w:rPr>
                <w:color w:val="000000"/>
                <w:sz w:val="24"/>
                <w:szCs w:val="24"/>
              </w:rPr>
              <w:t xml:space="preserve"> 50 </w:t>
            </w:r>
            <w:r>
              <w:rPr>
                <w:color w:val="000000"/>
                <w:sz w:val="24"/>
                <w:szCs w:val="24"/>
              </w:rPr>
              <w:sym w:font="Symbol" w:char="F025"/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8196E">
        <w:tc>
          <w:tcPr>
            <w:tcW w:w="1063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339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 — 3000</w:t>
            </w:r>
          </w:p>
        </w:tc>
        <w:tc>
          <w:tcPr>
            <w:tcW w:w="1100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1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92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</w:t>
            </w:r>
            <w:r>
              <w:rPr>
                <w:color w:val="000000"/>
                <w:sz w:val="24"/>
                <w:szCs w:val="24"/>
              </w:rPr>
              <w:sym w:font="Symbol" w:char="F03C"/>
            </w:r>
            <w:r>
              <w:rPr>
                <w:color w:val="000000"/>
                <w:sz w:val="24"/>
                <w:szCs w:val="24"/>
              </w:rPr>
              <w:t xml:space="preserve"> S </w:t>
            </w:r>
            <w:r>
              <w:rPr>
                <w:color w:val="000000"/>
                <w:sz w:val="24"/>
                <w:szCs w:val="24"/>
              </w:rPr>
              <w:sym w:font="Symbol" w:char="F03C"/>
            </w:r>
            <w:r>
              <w:rPr>
                <w:color w:val="000000"/>
                <w:sz w:val="24"/>
                <w:szCs w:val="24"/>
              </w:rPr>
              <w:t xml:space="preserve"> 50 </w:t>
            </w:r>
            <w:r>
              <w:rPr>
                <w:color w:val="000000"/>
                <w:sz w:val="24"/>
                <w:szCs w:val="24"/>
              </w:rPr>
              <w:sym w:font="Symbol" w:char="F025"/>
            </w:r>
          </w:p>
        </w:tc>
      </w:tr>
      <w:tr w:rsidR="00B8196E">
        <w:tc>
          <w:tcPr>
            <w:tcW w:w="1063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1339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 — 4500</w:t>
            </w:r>
          </w:p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4500 — 1000</w:t>
            </w:r>
          </w:p>
        </w:tc>
        <w:tc>
          <w:tcPr>
            <w:tcW w:w="1100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1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926" w:type="dxa"/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 </w:t>
            </w:r>
            <w:r>
              <w:rPr>
                <w:color w:val="000000"/>
                <w:sz w:val="24"/>
                <w:szCs w:val="24"/>
              </w:rPr>
              <w:sym w:font="Symbol" w:char="F0A3"/>
            </w:r>
            <w:r>
              <w:rPr>
                <w:color w:val="000000"/>
                <w:sz w:val="24"/>
                <w:szCs w:val="24"/>
              </w:rPr>
              <w:t xml:space="preserve"> 25 </w:t>
            </w:r>
            <w:r>
              <w:rPr>
                <w:color w:val="000000"/>
                <w:sz w:val="24"/>
                <w:szCs w:val="24"/>
              </w:rPr>
              <w:sym w:font="Symbol" w:char="F025"/>
            </w:r>
          </w:p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открытых ист. S </w:t>
            </w:r>
            <w:r>
              <w:rPr>
                <w:color w:val="000000"/>
                <w:sz w:val="24"/>
                <w:szCs w:val="24"/>
              </w:rPr>
              <w:sym w:font="Symbol" w:char="F0A3"/>
            </w:r>
            <w:r>
              <w:rPr>
                <w:color w:val="000000"/>
                <w:sz w:val="24"/>
                <w:szCs w:val="24"/>
              </w:rPr>
              <w:t xml:space="preserve"> 25 </w:t>
            </w:r>
            <w:r>
              <w:rPr>
                <w:color w:val="000000"/>
                <w:sz w:val="24"/>
                <w:szCs w:val="24"/>
              </w:rPr>
              <w:sym w:font="Symbol" w:char="F025"/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8196E" w:rsidRDefault="00381E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1" w:name="_Toc346258266"/>
      <w:bookmarkStart w:id="22" w:name="_Toc346268825"/>
      <w:bookmarkStart w:id="23" w:name="_Toc3893193"/>
      <w:r>
        <w:rPr>
          <w:b/>
          <w:bCs/>
          <w:color w:val="000000"/>
          <w:sz w:val="28"/>
          <w:szCs w:val="28"/>
        </w:rPr>
        <w:t>Защита от воздействия ИФ излучения.</w:t>
      </w:r>
      <w:bookmarkEnd w:id="21"/>
      <w:bookmarkEnd w:id="22"/>
      <w:bookmarkEnd w:id="23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Снижение ИФ в источнике. Ограничение по времени пребывания. Защита расстоянием. Индивидуальная защита. Экранирование (теплоизомерные матениалы).Воздушное душирование. Вентиляция.</w:t>
      </w:r>
    </w:p>
    <w:p w:rsidR="00B8196E" w:rsidRDefault="00381E23">
      <w:pPr>
        <w:widowControl w:val="0"/>
        <w:spacing w:before="120"/>
        <w:jc w:val="center"/>
        <w:rPr>
          <w:rStyle w:val="2TimesNewRoman0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</w:pPr>
      <w:bookmarkStart w:id="24" w:name="_Toc346258267"/>
      <w:bookmarkStart w:id="25" w:name="_Toc346268826"/>
      <w:bookmarkStart w:id="26" w:name="_Toc3893194"/>
      <w:r>
        <w:rPr>
          <w:b/>
          <w:bCs/>
          <w:color w:val="000000"/>
          <w:sz w:val="28"/>
          <w:szCs w:val="28"/>
        </w:rPr>
        <w:t>Приборы контроля ИФ</w:t>
      </w:r>
      <w:bookmarkEnd w:id="24"/>
      <w:bookmarkEnd w:id="25"/>
      <w:bookmarkEnd w:id="26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7" w:name="_Toc3893195"/>
      <w:r>
        <w:rPr>
          <w:color w:val="000000"/>
          <w:sz w:val="24"/>
          <w:szCs w:val="24"/>
        </w:rPr>
        <w:t>Актинометр (1 — 500) Вт/м2 .Радиометры. Спектрорадиометр. Радиометр оптического излучения .Дозиметр оптического излучения.</w:t>
      </w:r>
      <w:bookmarkEnd w:id="27"/>
    </w:p>
    <w:p w:rsidR="00B8196E" w:rsidRDefault="00381E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8" w:name="_Toc346258268"/>
      <w:bookmarkStart w:id="29" w:name="_Toc346268827"/>
      <w:bookmarkStart w:id="30" w:name="_Toc3893196"/>
      <w:r>
        <w:rPr>
          <w:b/>
          <w:bCs/>
          <w:color w:val="000000"/>
          <w:sz w:val="28"/>
          <w:szCs w:val="28"/>
        </w:rPr>
        <w:t>Ультрафиолетовое излучение</w:t>
      </w:r>
      <w:bookmarkEnd w:id="28"/>
      <w:bookmarkEnd w:id="29"/>
      <w:bookmarkEnd w:id="30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C"/>
      </w:r>
      <w:r>
        <w:rPr>
          <w:color w:val="000000"/>
          <w:sz w:val="24"/>
          <w:szCs w:val="24"/>
        </w:rPr>
        <w:t xml:space="preserve"> = 1 — 400 нм. 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: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способу генерации относятся к тепловым излучениям, и по характеру воздействия на вещества к ионизирующим излучениям.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Диапазон разбивается на 3 области :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УФ — А (400 — 315 нм)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УФ — В (315 — 280 нм)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УФ — С (280 — 200 нм) 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УФ — А приводит к флюаресценции.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УФ — В вызывает изменения в составе крови, кожи, воздействует на нервную систему.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УФ — С действует на клетки. Вызывает коагуляцию белков.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Действуя на слизистую оболочку глаз, приводит к электро-офтамии. Может вызвать помутнее хрусталика.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Источники УФ излучения: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лазерные установки;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лампы газоразрядные, ртутные;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ртутные выпрямители.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1" w:name="_Toc346258269"/>
      <w:bookmarkStart w:id="32" w:name="_Toc346268828"/>
      <w:bookmarkStart w:id="33" w:name="_Toc3893197"/>
      <w:r>
        <w:rPr>
          <w:color w:val="000000"/>
          <w:sz w:val="24"/>
          <w:szCs w:val="24"/>
        </w:rPr>
        <w:t>Нормирование УФ излучения</w:t>
      </w:r>
      <w:bookmarkEnd w:id="31"/>
      <w:bookmarkEnd w:id="32"/>
      <w:bookmarkEnd w:id="33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учетом оптико-физиологических свойств глаза, а также областей УФ излучений (волновые) установлены: допустимая плотность потока энергии, которой обеспечивают защиту поверхностей кожи и органов зрения.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УФ-А не более 10; УФ-В не более 0,005; УФ-С не более 0,001 [Вт/м2]</w:t>
      </w:r>
    </w:p>
    <w:p w:rsidR="00B8196E" w:rsidRDefault="00381E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4" w:name="_Toc346258270"/>
      <w:bookmarkStart w:id="35" w:name="_Toc346268829"/>
      <w:bookmarkStart w:id="36" w:name="_Toc3893198"/>
      <w:r>
        <w:rPr>
          <w:b/>
          <w:bCs/>
          <w:color w:val="000000"/>
          <w:sz w:val="28"/>
          <w:szCs w:val="28"/>
        </w:rPr>
        <w:t>Меры защиты</w:t>
      </w:r>
      <w:bookmarkEnd w:id="34"/>
      <w:bookmarkEnd w:id="35"/>
      <w:bookmarkEnd w:id="36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Экранирование источника УФИ.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Экранирование рабочих.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Специальная окраска помещений (серый, желтый,...)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Рациональное расположение раб. мест.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7" w:name="_Toc346258271"/>
      <w:bookmarkStart w:id="38" w:name="_Toc346268830"/>
      <w:bookmarkStart w:id="39" w:name="_Toc3893199"/>
      <w:r>
        <w:rPr>
          <w:color w:val="000000"/>
          <w:sz w:val="24"/>
          <w:szCs w:val="24"/>
        </w:rPr>
        <w:t>Средства индивидуальной защиты</w:t>
      </w:r>
      <w:bookmarkEnd w:id="37"/>
      <w:bookmarkEnd w:id="38"/>
      <w:bookmarkEnd w:id="39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ткани: хлопок, лен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специальные мази для защиты кожи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очки с содержанием свинца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Приборы контроля: радиометры, дозиметры.</w:t>
      </w:r>
    </w:p>
    <w:p w:rsidR="00B8196E" w:rsidRDefault="00381E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40" w:name="_Toc346258272"/>
      <w:bookmarkStart w:id="41" w:name="_Toc346268831"/>
      <w:bookmarkStart w:id="42" w:name="_Toc3893200"/>
      <w:r>
        <w:rPr>
          <w:b/>
          <w:bCs/>
          <w:color w:val="000000"/>
          <w:sz w:val="28"/>
          <w:szCs w:val="28"/>
        </w:rPr>
        <w:t>Ионизирующее излучение</w:t>
      </w:r>
      <w:bookmarkEnd w:id="40"/>
      <w:bookmarkEnd w:id="41"/>
      <w:bookmarkEnd w:id="42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Ионизирующее излучение — излучение, взаимодействие которого со средой приводит к возникновению ионов различных знаков.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43" w:name="_Toc346258273"/>
      <w:bookmarkStart w:id="44" w:name="_Toc346268832"/>
      <w:bookmarkStart w:id="45" w:name="_Toc3893201"/>
      <w:r>
        <w:rPr>
          <w:color w:val="000000"/>
          <w:sz w:val="24"/>
          <w:szCs w:val="24"/>
        </w:rPr>
        <w:t>Характеристики ионизирующего излучения</w:t>
      </w:r>
      <w:bookmarkEnd w:id="43"/>
      <w:bookmarkEnd w:id="44"/>
      <w:bookmarkEnd w:id="45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Экспозиционная доза — отношение заряда вещества к его массе [Кл/кг];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Мощность экспозиционной дозы [Кл/кг</w:t>
      </w:r>
      <w:r>
        <w:rPr>
          <w:color w:val="000000"/>
          <w:sz w:val="24"/>
          <w:szCs w:val="24"/>
        </w:rPr>
        <w:sym w:font="Symbol" w:char="F0D7"/>
      </w:r>
      <w:r>
        <w:rPr>
          <w:color w:val="000000"/>
          <w:sz w:val="24"/>
          <w:szCs w:val="24"/>
        </w:rPr>
        <w:t>с];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Поглощенная доза — средняя энергия в элементарном объеме на массу вещества в этом объеме [Гр=Грей], внесистемная единица - [Рад];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Мощность поглощенной дозы [Гр/с], [Рад/с];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Эквивалентность — вводится для оценки заряда радиационной опасности при хроническом воздействии излучения произвольным составом [Зв=Зиверт], внесистемная единица [бэр].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Зв=1Гр/Q, где Q - коэффициент качества (зависит от биологического эффекта ИИ).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Радиоактивность — самопроизвольное превращение неустойчивого нуклида в другой нуклид, сопровождающееся испусканием ионизирующего излучения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Активностью радионуклида называется величина, которая характеризуется числом распада радионуклидов в ед. времени или числом радиопревращений в ед. времени. 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[Беккерель — Бк]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46" w:name="_Toc346258274"/>
      <w:bookmarkStart w:id="47" w:name="_Toc346268833"/>
      <w:bookmarkStart w:id="48" w:name="_Toc3893202"/>
      <w:r>
        <w:rPr>
          <w:color w:val="000000"/>
          <w:sz w:val="24"/>
          <w:szCs w:val="24"/>
        </w:rPr>
        <w:t>Виды и источники ИИ в бытовой, произв. и окружающей среде:</w:t>
      </w:r>
      <w:bookmarkEnd w:id="46"/>
      <w:bookmarkEnd w:id="47"/>
      <w:bookmarkEnd w:id="48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корпускулярная (</w:t>
      </w:r>
      <w:r>
        <w:rPr>
          <w:color w:val="000000"/>
          <w:sz w:val="24"/>
          <w:szCs w:val="24"/>
        </w:rPr>
        <w:sym w:font="Symbol" w:char="F061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sym w:font="Symbol" w:char="F062"/>
      </w:r>
      <w:r>
        <w:rPr>
          <w:color w:val="000000"/>
          <w:sz w:val="24"/>
          <w:szCs w:val="24"/>
        </w:rPr>
        <w:t xml:space="preserve"> нейтроны);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(</w:t>
      </w:r>
      <w:r>
        <w:rPr>
          <w:color w:val="000000"/>
          <w:sz w:val="24"/>
          <w:szCs w:val="24"/>
        </w:rPr>
        <w:sym w:font="Symbol" w:char="F067"/>
      </w:r>
      <w:r>
        <w:rPr>
          <w:color w:val="000000"/>
          <w:sz w:val="24"/>
          <w:szCs w:val="24"/>
        </w:rPr>
        <w:t>,лент,электромагн.)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ионизирующей способности наиболее опасно </w:t>
      </w:r>
      <w:r>
        <w:rPr>
          <w:color w:val="000000"/>
          <w:sz w:val="24"/>
          <w:szCs w:val="24"/>
        </w:rPr>
        <w:sym w:font="Symbol" w:char="F061"/>
      </w:r>
      <w:r>
        <w:rPr>
          <w:color w:val="000000"/>
          <w:sz w:val="24"/>
          <w:szCs w:val="24"/>
        </w:rPr>
        <w:t xml:space="preserve"> излучение, особенно для внутреннего излучения (внутр. органы, проникая с воздухом и пищей).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Внешнее излучение действует на весь организм человека.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Фоновое облучение организма человека создается космическим излучением, искусственными и естественными радиоактивными веществами, которые содержатся в теле человека и окружающей среде.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Фоновое облучение включает: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Доза от космического облучения;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Доза от природных источников;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Доза от источников, испускающих в окружающую среду и в быту;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Технологически повышенный радиационный фон;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Доза облучения от испытания ядерного оружия;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Доза облучения от выбросов АЭС;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Доза облучения, получаемая при медицинских обследованиях и радиотерапии;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Эквивалентная доза — от космического облучения — 300 мкЗв/год.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биосфере Земли находится примерно 60 радиоактивных нуклидов. Эффективность дозы облучения ТЭЦ в 5 - 10 раз выше, чем АЭС в увеличении фона.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полете в самолете на высоте 8 км дополнительное облучение составляет 1,35 мкЗв/год.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Цветной телевизор на расстоянии 2,5 метра от экрана 0,0025 мкЗв/час, 5 см. от экрана — 100 мкЗв/час.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Ср. эквивалентная доза облучения при медицинских исследованиях 25 - 40 мкЗв/год. Дополнительные дозы облучения 0,5 млБэр/час на расст. 5 м. от бытовой аппаратуры 28млРент/час.</w:t>
      </w:r>
    </w:p>
    <w:p w:rsidR="00B8196E" w:rsidRDefault="00381E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49" w:name="_Toc346258275"/>
      <w:bookmarkStart w:id="50" w:name="_Toc346268834"/>
      <w:bookmarkStart w:id="51" w:name="_Toc3893203"/>
      <w:r>
        <w:rPr>
          <w:b/>
          <w:bCs/>
          <w:color w:val="000000"/>
          <w:sz w:val="28"/>
          <w:szCs w:val="28"/>
        </w:rPr>
        <w:t>Биологическое действие ионизирующих изл</w:t>
      </w:r>
      <w:bookmarkEnd w:id="49"/>
      <w:bookmarkEnd w:id="50"/>
      <w:r>
        <w:rPr>
          <w:b/>
          <w:bCs/>
          <w:color w:val="000000"/>
          <w:sz w:val="28"/>
          <w:szCs w:val="28"/>
        </w:rPr>
        <w:t>учений</w:t>
      </w:r>
      <w:bookmarkEnd w:id="51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Первичные (возникают в молекулах ткани и живых клеток)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Нарушение функций всего организма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ралиочувствительными органами являются: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— костный мозг;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— половая сфера;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— селезенка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52" w:name="_Toc346258276"/>
      <w:bookmarkStart w:id="53" w:name="_Toc346268835"/>
      <w:bookmarkStart w:id="54" w:name="_Toc3893204"/>
      <w:r>
        <w:rPr>
          <w:color w:val="000000"/>
          <w:sz w:val="24"/>
          <w:szCs w:val="24"/>
        </w:rPr>
        <w:t>Изменения на клеточном уровне различают:</w:t>
      </w:r>
      <w:bookmarkEnd w:id="52"/>
      <w:bookmarkEnd w:id="53"/>
      <w:bookmarkEnd w:id="54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Соматические или телесные эффекты, последствия которых сказываются на человеке, но не на потомстве.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Стохастические (вероятностные): лучевая болезнь, лейкозы, опухоли.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Нестохастические — поражения, вероятность которых растет по мере увеличения дозы облучения. Существует дозовый порог облучения.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Генетические. 100%-я доза летальности при облучении всего тела 6 Гр, доза 50% выживания — 2,4-4,2 Гр. Лучевая болезнь — более одного Гр. У большинства кажущиеся клиническое улучшение длится 14 — 20 суток.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 восстановления продолжается 3-4 месяца. Повышенной опасностью обладают радионуклиды, попавшие внутрь (с пищей, воздухом, водой).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опасен воздушный путь (за 6 ч. вдыхает 9 м</w:t>
      </w:r>
      <w:r>
        <w:rPr>
          <w:color w:val="000000"/>
          <w:sz w:val="24"/>
          <w:szCs w:val="24"/>
        </w:rPr>
        <w:object w:dxaOrig="173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5pt" o:ole="">
            <v:imagedata r:id="rId5" o:title=""/>
          </v:shape>
          <o:OLEObject Type="Embed" ProgID="Equation.3" ShapeID="_x0000_i1025" DrawAspect="Content" ObjectID="_1454301779" r:id="rId6"/>
        </w:object>
      </w:r>
      <w:r>
        <w:rPr>
          <w:color w:val="000000"/>
          <w:sz w:val="24"/>
          <w:szCs w:val="24"/>
        </w:rPr>
        <w:t xml:space="preserve"> воздуха, 2,2 л воды).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Биологические периоды выведения радионуклидов из внутренних органов колеблется от нескольких десятков суток до бесконечности.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A5"/>
      </w:r>
      <w:r>
        <w:rPr>
          <w:color w:val="000000"/>
          <w:sz w:val="24"/>
          <w:szCs w:val="24"/>
        </w:rPr>
        <w:t xml:space="preserve"> Стронций — 90; Несколько десятков суток </w:t>
      </w:r>
      <w:r>
        <w:rPr>
          <w:color w:val="000000"/>
          <w:sz w:val="24"/>
          <w:szCs w:val="24"/>
        </w:rPr>
        <w:sym w:font="Symbol" w:char="F0AE"/>
      </w:r>
      <w:r>
        <w:rPr>
          <w:color w:val="000000"/>
          <w:sz w:val="24"/>
          <w:szCs w:val="24"/>
        </w:rPr>
        <w:t xml:space="preserve"> C14,Na24</w:t>
      </w:r>
    </w:p>
    <w:p w:rsidR="00B8196E" w:rsidRDefault="00381E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bookmarkStart w:id="55" w:name="_Toc346258277"/>
      <w:bookmarkStart w:id="56" w:name="_Toc346268836"/>
      <w:bookmarkStart w:id="57" w:name="_Toc3893205"/>
      <w:r>
        <w:rPr>
          <w:b/>
          <w:bCs/>
          <w:color w:val="000000"/>
          <w:sz w:val="28"/>
          <w:szCs w:val="28"/>
        </w:rPr>
        <w:t>Нормирование ИИ</w:t>
      </w:r>
      <w:bookmarkEnd w:id="55"/>
      <w:bookmarkEnd w:id="56"/>
      <w:bookmarkEnd w:id="57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Нормы радиационной безопасности (НРБ — 76/87)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Регламентируются 3 категории облучаемых лиц: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— персонал, связей с источником ИИ;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 — персонал (ограниченная часть населения), находящихся вблизи источника ИИ;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— население района, края, области, республики.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Группа критических органов (по мере уменьшения чувствительности):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тело, половая сфера, красный костный мозг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Мышцы, щитовидная железа, жировая ткань и др. органы за исключением тех, которые относятся к 1 и 3 группам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кожный покров, костная ткань, кисти, предплечья, стопы.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дозовые пределы, допустимые и контрольные уровни, которые приводятся в НРБ — 76/87 установлены для лиц категории А и Б.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Нормы радиационной безопасности для категории В не установлены, а ограничение облучений осуществляются регламентацией или контролем радиоактивных объектов окр. среды.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дозовый предел — ПДД - наибольшее значение индивидуальной эквивалентной дозы за календарный год, которое при равномерном воздействии в течении 50 лет не вызывает отклонении в состоянии здоровья обслуживающего персонала, обнаруживаемые современными методами исследования.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 дозовый предел — ПД - основной дозовый предел, который при равномерном облучении в течение 70 лет не вызывает отклонений у обслуживающего персонала, обнаруживаемые современными методами исследования.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дозовые пределы для категорий А и Б:</w:t>
      </w:r>
    </w:p>
    <w:tbl>
      <w:tblPr>
        <w:tblW w:w="0" w:type="auto"/>
        <w:tblInd w:w="-7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560"/>
        <w:gridCol w:w="1701"/>
        <w:gridCol w:w="1559"/>
      </w:tblGrid>
      <w:tr w:rsidR="00B8196E">
        <w:tc>
          <w:tcPr>
            <w:tcW w:w="1771" w:type="dxa"/>
            <w:tcBorders>
              <w:left w:val="nil"/>
              <w:bottom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4820" w:type="dxa"/>
            <w:gridSpan w:val="3"/>
            <w:tcBorders>
              <w:right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группы критических органов</w:t>
            </w:r>
          </w:p>
        </w:tc>
      </w:tr>
      <w:tr w:rsidR="00B8196E">
        <w:tc>
          <w:tcPr>
            <w:tcW w:w="1771" w:type="dxa"/>
            <w:tcBorders>
              <w:top w:val="nil"/>
              <w:left w:val="nil"/>
            </w:tcBorders>
          </w:tcPr>
          <w:p w:rsidR="00B8196E" w:rsidRDefault="00B8196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bottom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B8196E"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bottom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bottom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</w:tr>
      <w:tr w:rsidR="00B8196E">
        <w:tc>
          <w:tcPr>
            <w:tcW w:w="1771" w:type="dxa"/>
            <w:tcBorders>
              <w:top w:val="nil"/>
              <w:left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right w:val="nil"/>
            </w:tcBorders>
          </w:tcPr>
          <w:p w:rsidR="00B8196E" w:rsidRDefault="00381E2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</w:tbl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58" w:name="_Toc346258278"/>
      <w:bookmarkStart w:id="59" w:name="_Toc346268837"/>
      <w:bookmarkStart w:id="60" w:name="_Toc3893206"/>
      <w:r>
        <w:rPr>
          <w:color w:val="000000"/>
          <w:sz w:val="24"/>
          <w:szCs w:val="24"/>
        </w:rPr>
        <w:t>Основные санитарные правила (ОСП) работы с источниками ионизирующих излучений</w:t>
      </w:r>
      <w:bookmarkEnd w:id="58"/>
      <w:bookmarkEnd w:id="59"/>
      <w:bookmarkEnd w:id="60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ОСП 72/78 — нормативный документ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Включает: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размещению установок с радиоактивными веществами и источниками ионизирующих излучений.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организации работ с ними.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поставке, учету и перевозке.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работе с закрытыми источниками.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отоплению, вентиляции и пыле-, газоочистки при работе с источниками.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водоснабжению и канализации.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сбору, удалению и обезвреживанию отходов.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содержанию и дезактивации раб. помещений и оборудования.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по индивидуальной защите и в личной гигиене.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проведению радиационного контроля.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предупреждению радиац. аварий и ликвидаций их последствий.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Проектированние защиты от внешнего ионизирующего излучения, рассчитанные по мощности экспозиционной дозы, коэф. защиты равен 2.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работы с открытыми источниками радиокт. веществ подразделяются на три класса: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 (самый опасный). Работа осуществляется дистанционно.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с ист. III-го класса осуществляется при использовании систем местной вентиляции (вытяжные шкафы).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с источником II-го класса осуществляется в отдельно расположенных помещениях, которые имеют специально оборудованный вход (душевой и средства проведения радиоционного контроля).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выполнении работ с веществами I, II и III классов проведение радиационного контроля обязательно.</w:t>
      </w:r>
    </w:p>
    <w:p w:rsidR="00B8196E" w:rsidRDefault="00381E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61" w:name="_Toc346258279"/>
      <w:bookmarkStart w:id="62" w:name="_Toc346268838"/>
      <w:bookmarkStart w:id="63" w:name="_Toc3893207"/>
      <w:r>
        <w:rPr>
          <w:b/>
          <w:bCs/>
          <w:color w:val="000000"/>
          <w:sz w:val="28"/>
          <w:szCs w:val="28"/>
        </w:rPr>
        <w:t>Методы защиты от ионизирующих излучений</w:t>
      </w:r>
      <w:bookmarkEnd w:id="61"/>
      <w:bookmarkEnd w:id="62"/>
      <w:bookmarkEnd w:id="63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методы: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Метод защиты количеством, т.е. по возможности снижение нормы дозы облучения, 2) Защита временем , 3) Экранирование (свинец, бетон),4) Защита расстоянием</w:t>
      </w:r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64" w:name="_Toc346258280"/>
      <w:bookmarkStart w:id="65" w:name="_Toc346268839"/>
      <w:bookmarkStart w:id="66" w:name="_Toc3893208"/>
      <w:r>
        <w:rPr>
          <w:color w:val="000000"/>
          <w:sz w:val="24"/>
          <w:szCs w:val="24"/>
        </w:rPr>
        <w:t>Приборы радиационного контроля</w:t>
      </w:r>
      <w:bookmarkEnd w:id="64"/>
      <w:bookmarkEnd w:id="65"/>
      <w:r>
        <w:rPr>
          <w:color w:val="000000"/>
          <w:sz w:val="24"/>
          <w:szCs w:val="24"/>
        </w:rPr>
        <w:t>:</w:t>
      </w:r>
      <w:bookmarkEnd w:id="66"/>
    </w:p>
    <w:p w:rsidR="00B8196E" w:rsidRDefault="00381E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1.дозиметры , 2.радиометры , 3.спектрометры , 4.сигнализаторы, 5. универсальные приборы (дозиметры + другие), 6.устройство детектирования.</w:t>
      </w:r>
    </w:p>
    <w:p w:rsidR="00B8196E" w:rsidRDefault="00B8196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67" w:name="_GoBack"/>
      <w:bookmarkEnd w:id="67"/>
    </w:p>
    <w:sectPr w:rsidR="00B8196E">
      <w:pgSz w:w="11906" w:h="16838" w:code="11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ios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T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26143"/>
    <w:multiLevelType w:val="multilevel"/>
    <w:tmpl w:val="265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TimesNew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E23"/>
    <w:rsid w:val="00381E23"/>
    <w:rsid w:val="00752B50"/>
    <w:rsid w:val="00B8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061C10E-6285-4C8A-8AF5-9A450F4E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0"/>
    <w:link w:val="10"/>
    <w:uiPriority w:val="99"/>
    <w:qFormat/>
    <w:pPr>
      <w:pageBreakBefore/>
      <w:suppressAutoHyphens/>
      <w:spacing w:before="120" w:after="120"/>
      <w:ind w:firstLine="425"/>
      <w:jc w:val="center"/>
      <w:outlineLvl w:val="0"/>
    </w:pPr>
    <w:rPr>
      <w:rFonts w:ascii="HeliosBlack" w:hAnsi="HeliosBlack" w:cs="HeliosBlack"/>
      <w:b/>
      <w:bCs/>
      <w:kern w:val="28"/>
      <w:sz w:val="36"/>
      <w:szCs w:val="36"/>
    </w:rPr>
  </w:style>
  <w:style w:type="paragraph" w:styleId="2">
    <w:name w:val="heading 2"/>
    <w:basedOn w:val="a"/>
    <w:next w:val="a0"/>
    <w:link w:val="20"/>
    <w:uiPriority w:val="99"/>
    <w:qFormat/>
    <w:pPr>
      <w:keepNext/>
      <w:spacing w:before="120" w:after="120"/>
      <w:outlineLvl w:val="1"/>
    </w:pPr>
    <w:rPr>
      <w:rFonts w:ascii="Helios" w:hAnsi="Helios" w:cs="Helios"/>
      <w:b/>
      <w:bCs/>
      <w:i/>
      <w:iCs/>
      <w:sz w:val="24"/>
      <w:szCs w:val="24"/>
    </w:rPr>
  </w:style>
  <w:style w:type="paragraph" w:styleId="3">
    <w:name w:val="heading 3"/>
    <w:basedOn w:val="a"/>
    <w:next w:val="a0"/>
    <w:link w:val="30"/>
    <w:uiPriority w:val="99"/>
    <w:qFormat/>
    <w:pPr>
      <w:keepNext/>
      <w:spacing w:before="60"/>
      <w:jc w:val="center"/>
      <w:outlineLvl w:val="2"/>
    </w:pPr>
    <w:rPr>
      <w:rFonts w:ascii="TimesET" w:hAnsi="TimesET" w:cs="TimesET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Pr>
      <w:rFonts w:ascii="Helios" w:hAnsi="Helios" w:cs="Helios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0">
    <w:name w:val="Plain Text"/>
    <w:basedOn w:val="a"/>
    <w:link w:val="a4"/>
    <w:uiPriority w:val="99"/>
    <w:pPr>
      <w:ind w:firstLine="426"/>
      <w:jc w:val="both"/>
    </w:pPr>
    <w:rPr>
      <w:rFonts w:ascii="TimesET" w:hAnsi="TimesET" w:cs="TimesET"/>
    </w:rPr>
  </w:style>
  <w:style w:type="character" w:customStyle="1" w:styleId="a4">
    <w:name w:val="Текст Знак"/>
    <w:basedOn w:val="a1"/>
    <w:link w:val="a0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macro"/>
    <w:link w:val="a6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TM" w:hAnsi="CourierTM" w:cs="CourierTM"/>
      <w:sz w:val="20"/>
      <w:szCs w:val="20"/>
    </w:rPr>
  </w:style>
  <w:style w:type="character" w:customStyle="1" w:styleId="a6">
    <w:name w:val="Текст макроса Знак"/>
    <w:basedOn w:val="a1"/>
    <w:link w:val="a5"/>
    <w:uiPriority w:val="99"/>
    <w:semiHidden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pPr>
      <w:spacing w:before="240" w:after="60"/>
      <w:jc w:val="center"/>
    </w:pPr>
    <w:rPr>
      <w:rFonts w:ascii="Helios" w:hAnsi="Helios" w:cs="Helios"/>
      <w:b/>
      <w:bCs/>
      <w:kern w:val="28"/>
      <w:sz w:val="32"/>
      <w:szCs w:val="32"/>
    </w:rPr>
  </w:style>
  <w:style w:type="character" w:customStyle="1" w:styleId="a8">
    <w:name w:val="Название Знак"/>
    <w:basedOn w:val="a1"/>
    <w:link w:val="a7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aa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a">
    <w:name w:val="Нижний колонтитул Знак"/>
    <w:basedOn w:val="a1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page number"/>
    <w:basedOn w:val="a1"/>
    <w:uiPriority w:val="99"/>
  </w:style>
  <w:style w:type="paragraph" w:styleId="ac">
    <w:name w:val="header"/>
    <w:basedOn w:val="a"/>
    <w:link w:val="ad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d">
    <w:name w:val="Верхний колонтитул Знак"/>
    <w:basedOn w:val="a1"/>
    <w:link w:val="ac"/>
    <w:uiPriority w:val="99"/>
    <w:semiHidden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uiPriority w:val="99"/>
    <w:pPr>
      <w:tabs>
        <w:tab w:val="right" w:leader="dot" w:pos="6690"/>
      </w:tabs>
      <w:spacing w:before="60"/>
      <w:ind w:right="454"/>
    </w:pPr>
    <w:rPr>
      <w:rFonts w:ascii="TimesET" w:hAnsi="TimesET" w:cs="TimesET"/>
      <w:b/>
      <w:bCs/>
    </w:rPr>
  </w:style>
  <w:style w:type="paragraph" w:styleId="21">
    <w:name w:val="toc 2"/>
    <w:basedOn w:val="a"/>
    <w:next w:val="a"/>
    <w:uiPriority w:val="99"/>
    <w:pPr>
      <w:tabs>
        <w:tab w:val="right" w:leader="dot" w:pos="6690"/>
      </w:tabs>
      <w:ind w:left="200" w:right="453"/>
    </w:pPr>
    <w:rPr>
      <w:rFonts w:ascii="TimesET" w:hAnsi="TimesET" w:cs="TimesET"/>
    </w:rPr>
  </w:style>
  <w:style w:type="paragraph" w:styleId="31">
    <w:name w:val="toc 3"/>
    <w:basedOn w:val="a"/>
    <w:next w:val="a"/>
    <w:uiPriority w:val="99"/>
    <w:pPr>
      <w:tabs>
        <w:tab w:val="right" w:leader="dot" w:pos="6690"/>
      </w:tabs>
      <w:ind w:left="400" w:right="453"/>
    </w:pPr>
    <w:rPr>
      <w:rFonts w:ascii="TimesET" w:hAnsi="TimesET" w:cs="TimesET"/>
      <w:i/>
      <w:iCs/>
    </w:rPr>
  </w:style>
  <w:style w:type="paragraph" w:styleId="4">
    <w:name w:val="toc 4"/>
    <w:basedOn w:val="a"/>
    <w:next w:val="a"/>
    <w:uiPriority w:val="99"/>
    <w:pPr>
      <w:tabs>
        <w:tab w:val="right" w:leader="dot" w:pos="6690"/>
      </w:tabs>
      <w:ind w:left="600"/>
    </w:pPr>
    <w:rPr>
      <w:rFonts w:ascii="TimesET" w:hAnsi="TimesET" w:cs="TimesET"/>
    </w:rPr>
  </w:style>
  <w:style w:type="paragraph" w:styleId="5">
    <w:name w:val="toc 5"/>
    <w:basedOn w:val="a"/>
    <w:next w:val="a"/>
    <w:uiPriority w:val="99"/>
    <w:pPr>
      <w:tabs>
        <w:tab w:val="right" w:leader="dot" w:pos="6690"/>
      </w:tabs>
      <w:ind w:left="800"/>
    </w:pPr>
    <w:rPr>
      <w:rFonts w:ascii="TimesET" w:hAnsi="TimesET" w:cs="TimesET"/>
    </w:rPr>
  </w:style>
  <w:style w:type="paragraph" w:styleId="6">
    <w:name w:val="toc 6"/>
    <w:basedOn w:val="a"/>
    <w:next w:val="a"/>
    <w:uiPriority w:val="99"/>
    <w:pPr>
      <w:tabs>
        <w:tab w:val="right" w:leader="dot" w:pos="6690"/>
      </w:tabs>
      <w:ind w:left="1000"/>
    </w:pPr>
    <w:rPr>
      <w:rFonts w:ascii="TimesET" w:hAnsi="TimesET" w:cs="TimesET"/>
    </w:rPr>
  </w:style>
  <w:style w:type="paragraph" w:styleId="7">
    <w:name w:val="toc 7"/>
    <w:basedOn w:val="a"/>
    <w:next w:val="a"/>
    <w:uiPriority w:val="99"/>
    <w:pPr>
      <w:tabs>
        <w:tab w:val="right" w:leader="dot" w:pos="6690"/>
      </w:tabs>
      <w:ind w:left="1200"/>
    </w:pPr>
    <w:rPr>
      <w:rFonts w:ascii="TimesET" w:hAnsi="TimesET" w:cs="TimesET"/>
    </w:rPr>
  </w:style>
  <w:style w:type="paragraph" w:styleId="8">
    <w:name w:val="toc 8"/>
    <w:basedOn w:val="a"/>
    <w:next w:val="a"/>
    <w:uiPriority w:val="99"/>
    <w:pPr>
      <w:tabs>
        <w:tab w:val="right" w:leader="dot" w:pos="6690"/>
      </w:tabs>
      <w:ind w:left="1400"/>
    </w:pPr>
    <w:rPr>
      <w:rFonts w:ascii="TimesET" w:hAnsi="TimesET" w:cs="TimesET"/>
    </w:rPr>
  </w:style>
  <w:style w:type="paragraph" w:styleId="9">
    <w:name w:val="toc 9"/>
    <w:basedOn w:val="a"/>
    <w:next w:val="a"/>
    <w:uiPriority w:val="99"/>
    <w:pPr>
      <w:tabs>
        <w:tab w:val="right" w:leader="dot" w:pos="6690"/>
      </w:tabs>
      <w:ind w:left="1600"/>
    </w:pPr>
    <w:rPr>
      <w:rFonts w:ascii="TimesET" w:hAnsi="TimesET" w:cs="TimesET"/>
    </w:rPr>
  </w:style>
  <w:style w:type="paragraph" w:customStyle="1" w:styleId="1TimesNewRoman">
    <w:name w:val="Стиль Заголовок 1 + Times New Roman"/>
    <w:basedOn w:val="1"/>
    <w:uiPriority w:val="99"/>
    <w:pPr>
      <w:pageBreakBefore w:val="0"/>
      <w:spacing w:after="0"/>
      <w:ind w:firstLine="0"/>
    </w:pPr>
    <w:rPr>
      <w:rFonts w:ascii="Times New Roman" w:hAnsi="Times New Roman" w:cs="Times New Roman"/>
    </w:rPr>
  </w:style>
  <w:style w:type="paragraph" w:customStyle="1" w:styleId="2TimesNewRoman">
    <w:name w:val="Стиль Заголовок 2 + Times New Roman"/>
    <w:basedOn w:val="2"/>
    <w:uiPriority w:val="99"/>
    <w:pPr>
      <w:jc w:val="center"/>
    </w:pPr>
    <w:rPr>
      <w:rFonts w:ascii="Times New Roman" w:hAnsi="Times New Roman" w:cs="Times New Roman"/>
    </w:rPr>
  </w:style>
  <w:style w:type="character" w:customStyle="1" w:styleId="2TimesNewRoman0">
    <w:name w:val="Стиль Заголовок 2 + Times New Roman Знак"/>
    <w:basedOn w:val="20"/>
    <w:uiPriority w:val="99"/>
    <w:rPr>
      <w:rFonts w:ascii="Helios" w:hAnsi="Helios" w:cs="Helios"/>
      <w:b/>
      <w:bCs/>
      <w:i/>
      <w:iCs/>
      <w:sz w:val="24"/>
      <w:szCs w:val="24"/>
      <w:lang w:val="ru-RU" w:eastAsia="ru-RU"/>
    </w:rPr>
  </w:style>
  <w:style w:type="paragraph" w:customStyle="1" w:styleId="3TimesNewRoman">
    <w:name w:val="Стиль Заголовок 3 + Times New Roman"/>
    <w:basedOn w:val="3"/>
    <w:uiPriority w:val="99"/>
    <w:pPr>
      <w:numPr>
        <w:ilvl w:val="2"/>
        <w:numId w:val="1"/>
      </w:numPr>
    </w:pPr>
    <w:rPr>
      <w:rFonts w:ascii="Times New Roman" w:hAnsi="Times New Roman" w:cs="Times New Roman"/>
    </w:rPr>
  </w:style>
  <w:style w:type="character" w:styleId="ae">
    <w:name w:val="Hyperlink"/>
    <w:basedOn w:val="a1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1859</Words>
  <Characters>10600</Characters>
  <Application>Microsoft Office Word</Application>
  <DocSecurity>0</DocSecurity>
  <Lines>88</Lines>
  <Paragraphs>24</Paragraphs>
  <ScaleCrop>false</ScaleCrop>
  <Company>PERSONAL COMPUTERS</Company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Электромагнитное поле</dc:title>
  <dc:subject/>
  <dc:creator>USER</dc:creator>
  <cp:keywords/>
  <dc:description/>
  <cp:lastModifiedBy>admin</cp:lastModifiedBy>
  <cp:revision>2</cp:revision>
  <dcterms:created xsi:type="dcterms:W3CDTF">2014-02-19T05:57:00Z</dcterms:created>
  <dcterms:modified xsi:type="dcterms:W3CDTF">2014-02-19T05:57:00Z</dcterms:modified>
</cp:coreProperties>
</file>