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75" w:rsidRPr="009C6B64" w:rsidRDefault="000C1075" w:rsidP="000C1075">
      <w:pPr>
        <w:spacing w:before="120"/>
        <w:jc w:val="center"/>
        <w:rPr>
          <w:b/>
          <w:bCs/>
          <w:sz w:val="32"/>
          <w:szCs w:val="32"/>
        </w:rPr>
      </w:pPr>
      <w:r w:rsidRPr="009C6B64">
        <w:rPr>
          <w:b/>
          <w:bCs/>
          <w:sz w:val="32"/>
          <w:szCs w:val="32"/>
        </w:rPr>
        <w:t>Альдегиды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Введение.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Соединения углерода, которые накапливались в растениях ранних эпох, большей частью подверглись превращениям под влиянием анаэробных бактерий. Из остатков отмерших - растений образовались торф и каменный уголь. Этому процессу способствовало высокое давление минеральных отложений, которые постепенно осаждались на остатках растений. Движение земной коры, связанное с образованием гор, также благоприятствовало появлению угля, поскольку при этом повышались давление и температура.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Нефть и природный газ возникали на дне огромных озер и морей, где было необычайно много водорослей и водных животных. Погибая, они погружались на дно и без доступа воздуха, под влиянием бактерий превращались в гниющий ил. При гниении выделялся ядовитый сероводород, губительно действующий на остальные живые организмы. Из органических веществ возникали вначале жирные кислоты, а позднее -нефть и природный газ. Особенно благоприятными условиями для таких процессов отличался пермский период палеозойской эры. Именно с тех пор существуют многие из крупных месторождений нефти.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Из остатков погибших растений и животных образовался тот самый бурый уголь, который в настоящее время используется во многих отраслях народного хозяйства. Он служит одним из важнейших видов сырья для химической промышленности.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Бензин и бытовой газ, растворители, пластмассы и красители, новые лекарства и духи - все продукты органической химии рождаются из этого сырья. За многие миллионы лет природа накопила богатейшие запасы углерода и его соединений. И если сейчас мы все еще вынуждены сжигать значительную часть этого сырья для получения энергии, то это, в сущности, неразумное расточительство. Будем надеяться, что атомная энергия вскоре позволит нам использовать уголь и нефть только как сырье для химической промышленности. 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Общие свойства карбонильных соединений.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Карбонильные соединения содержат в молекуле карбонильную группу</w:t>
      </w:r>
      <w:r>
        <w:t xml:space="preserve"> </w:t>
      </w:r>
      <w:r w:rsidRPr="0011135C">
        <w:t>Карбонильные соединения делятся на альдегиды и кетоны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Строение карбонильной группы C=O.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Свойства альдегидов и кетонов определяются строением карбонильной группы &gt;C=O.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Атомы углерода и кислорода в карбонильной группе находятся в состоянии sp2-гибридизации. Углерод своими sp2-гибридными орбиталями образует 3 </w:t>
      </w:r>
      <w:r w:rsidRPr="0011135C">
        <w:t xml:space="preserve">-связи (одна из них - связь С–О), которые располагаются в одной плоскости под углом около 120° друг к другу. Одна из трех sp2-орбиталей кислорода участвует в </w:t>
      </w:r>
      <w:r w:rsidRPr="0011135C">
        <w:t xml:space="preserve">-связи С–О, две другие содержат неподеленнные электронные пары. p-Связь образована р-электронами атомов углерода и кислорода.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Связь С=О сильно полярна. Ее дипольный момент (2,6-2,8D) значительно выше, чем у связи С–О в спиртах (0,70D). Электроны кратной связи С=О, в особенности более подвижные p-электроны, смещены к электроотрицательному атому кислорода, что приводит к появлению на нем частичного отрицательного заряда. Карбонильный углерод приобретает частичный положительный заряд.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Поэтому углерод подвергается атаке нуклеофильными реагентами, а кислород - электрофильными, в том числе Н+.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В молекулах альдегидов и кетонов отсутствуют атомы водорода, способные к образованию водородных связей. Поэтому их температуры кипения ниже, чем у соответствующих спиртов. Метаналь (формальдегид) - газ, альдегиды С2–C5 и кетоны С3–С4 - жидкости, высшие - твердые вещества. Низшие гомологи растворимы в воде, благодаря образованию водородных связей между атомами водорода молекул воды и карбонильными атомами кислорода. С увеличением углеводородного радикала растворимость в воде падает.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47"/>
        <w:gridCol w:w="3053"/>
        <w:gridCol w:w="3348"/>
      </w:tblGrid>
      <w:tr w:rsidR="000C1075" w:rsidRPr="0011135C" w:rsidTr="001E5E81">
        <w:trPr>
          <w:trHeight w:val="555"/>
          <w:jc w:val="center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Модели простейших карбонильных соединений</w:t>
            </w:r>
          </w:p>
        </w:tc>
      </w:tr>
      <w:tr w:rsidR="000C1075" w:rsidRPr="0011135C" w:rsidTr="001E5E81">
        <w:trPr>
          <w:jc w:val="center"/>
        </w:trPr>
        <w:tc>
          <w:tcPr>
            <w:tcW w:w="1750" w:type="pc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:rsidR="000C1075" w:rsidRPr="0011135C" w:rsidRDefault="000C1075" w:rsidP="001E5E81">
            <w:r w:rsidRPr="0011135C">
              <w:t>Название</w:t>
            </w:r>
          </w:p>
        </w:tc>
        <w:tc>
          <w:tcPr>
            <w:tcW w:w="15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C1075" w:rsidRPr="0011135C" w:rsidRDefault="000C1075" w:rsidP="001E5E81">
            <w:r w:rsidRPr="0011135C">
              <w:t>Формула</w:t>
            </w:r>
          </w:p>
        </w:tc>
        <w:tc>
          <w:tcPr>
            <w:tcW w:w="1700" w:type="pct"/>
            <w:tcBorders>
              <w:top w:val="threeDEmboss" w:sz="6" w:space="0" w:color="auto"/>
              <w:left w:val="threeDEmboss" w:sz="6" w:space="0" w:color="auto"/>
              <w:bottom w:val="nil"/>
              <w:right w:val="threeDEmboss" w:sz="6" w:space="0" w:color="auto"/>
            </w:tcBorders>
          </w:tcPr>
          <w:p w:rsidR="000C1075" w:rsidRPr="0011135C" w:rsidRDefault="000C1075" w:rsidP="001E5E81">
            <w:r w:rsidRPr="0011135C">
              <w:t>Модель</w:t>
            </w:r>
          </w:p>
        </w:tc>
      </w:tr>
      <w:tr w:rsidR="000C1075" w:rsidRPr="0011135C" w:rsidTr="001E5E81">
        <w:trPr>
          <w:trHeight w:val="1082"/>
          <w:jc w:val="center"/>
        </w:trPr>
        <w:tc>
          <w:tcPr>
            <w:tcW w:w="17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Default="000C1075" w:rsidP="001E5E81">
            <w:r w:rsidRPr="0011135C">
              <w:t>Формальдегид</w:t>
            </w:r>
            <w:r>
              <w:t xml:space="preserve"> </w:t>
            </w:r>
          </w:p>
          <w:p w:rsidR="000C1075" w:rsidRPr="0011135C" w:rsidRDefault="000C1075" w:rsidP="001E5E81">
            <w:r w:rsidRPr="0011135C">
              <w:t>(метаналь)</w:t>
            </w:r>
          </w:p>
        </w:tc>
        <w:tc>
          <w:tcPr>
            <w:tcW w:w="15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C1075" w:rsidRPr="0011135C" w:rsidRDefault="000C1075" w:rsidP="001E5E81">
            <w:r w:rsidRPr="0011135C">
              <w:t>H2C=O</w:t>
            </w:r>
          </w:p>
        </w:tc>
        <w:tc>
          <w:tcPr>
            <w:tcW w:w="17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fldChar w:fldCharType="begin"/>
            </w:r>
            <w:r w:rsidRPr="0011135C">
              <w:instrText>PRIVATE "TYPE=PICT;ALT="</w:instrText>
            </w:r>
            <w:r w:rsidRPr="0011135C">
              <w:fldChar w:fldCharType="end"/>
            </w:r>
          </w:p>
        </w:tc>
      </w:tr>
      <w:tr w:rsidR="000C1075" w:rsidRPr="0011135C" w:rsidTr="001E5E81">
        <w:trPr>
          <w:trHeight w:val="1293"/>
          <w:jc w:val="center"/>
        </w:trPr>
        <w:tc>
          <w:tcPr>
            <w:tcW w:w="17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Default="000C1075" w:rsidP="001E5E81">
            <w:r w:rsidRPr="0011135C">
              <w:t>Ацетальдегид</w:t>
            </w:r>
            <w:r>
              <w:t xml:space="preserve"> </w:t>
            </w:r>
          </w:p>
          <w:p w:rsidR="000C1075" w:rsidRPr="0011135C" w:rsidRDefault="000C1075" w:rsidP="001E5E81">
            <w:r w:rsidRPr="0011135C">
              <w:t>(этаналь)</w:t>
            </w:r>
          </w:p>
        </w:tc>
        <w:tc>
          <w:tcPr>
            <w:tcW w:w="15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C1075" w:rsidRPr="0011135C" w:rsidRDefault="000C1075" w:rsidP="001E5E81">
            <w:r w:rsidRPr="0011135C">
              <w:t>СH3-CH=O</w:t>
            </w:r>
          </w:p>
        </w:tc>
        <w:tc>
          <w:tcPr>
            <w:tcW w:w="17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fldChar w:fldCharType="begin"/>
            </w:r>
            <w:r w:rsidRPr="0011135C">
              <w:instrText>PRIVATE "TYPE=PICT;ALT="</w:instrText>
            </w:r>
            <w:r w:rsidRPr="0011135C">
              <w:fldChar w:fldCharType="end"/>
            </w:r>
          </w:p>
        </w:tc>
      </w:tr>
      <w:tr w:rsidR="000C1075" w:rsidRPr="0011135C" w:rsidTr="001E5E81">
        <w:trPr>
          <w:trHeight w:val="1315"/>
          <w:jc w:val="center"/>
        </w:trPr>
        <w:tc>
          <w:tcPr>
            <w:tcW w:w="17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Default="000C1075" w:rsidP="001E5E81">
            <w:r w:rsidRPr="0011135C">
              <w:t>Ацетон</w:t>
            </w:r>
            <w:r>
              <w:t xml:space="preserve"> </w:t>
            </w:r>
          </w:p>
          <w:p w:rsidR="000C1075" w:rsidRPr="0011135C" w:rsidRDefault="000C1075" w:rsidP="001E5E81">
            <w:r w:rsidRPr="0011135C">
              <w:t>(пропанон)</w:t>
            </w:r>
          </w:p>
        </w:tc>
        <w:tc>
          <w:tcPr>
            <w:tcW w:w="155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0C1075" w:rsidRPr="0011135C" w:rsidRDefault="000C1075" w:rsidP="001E5E81">
            <w:r w:rsidRPr="0011135C">
              <w:t>(СH3)2C=O</w:t>
            </w:r>
          </w:p>
        </w:tc>
        <w:tc>
          <w:tcPr>
            <w:tcW w:w="170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fldChar w:fldCharType="begin"/>
            </w:r>
            <w:r w:rsidRPr="0011135C">
              <w:instrText>PRIVATE "TYPE=PICT;ALT="</w:instrText>
            </w:r>
            <w:r w:rsidRPr="0011135C">
              <w:fldChar w:fldCharType="end"/>
            </w:r>
          </w:p>
        </w:tc>
      </w:tr>
    </w:tbl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Формальдегид. Первым членом гомологического ряда предельных альдегидов является формальдегид НСОН. Его называю также метаналь и муравьиный альдегид. Он представляет собой бесцветный газ с характерным резким запахом. Хорошо растворяется в воде, образу гидрат СН2О . Н2О. Водный раствор с массовой долей формальдегида 30-40% называется формалином. Формалин является хорошим дезинфицирующим и консервирующим средством.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Ацетальдегид. Ацетальдегид (этаналь, уксусный альдегид) СН3 - СОН представляет собой бесцветную жидкость с резким запахом. Хорошо растворяется в воде. В больших количествах вырабатывается химической промышленностью. Основное количество вырабатываемого ацетальдегида окисляют до уксусной кислоты. Ацетальдегид используется и для получения других органических продуктов, в том числе полимеров.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Ацетон. Ацетон (пропанон, диметилкетон) представляет собой бесцветную жидкость с характерным запахом. Температура кипения ацетона 56,2 С. Хорошо растворим в воде, и сам является растворителем органических соединений.</w:t>
      </w:r>
      <w:r>
        <w:t xml:space="preserve"> </w:t>
      </w:r>
      <w:r w:rsidRPr="0011135C">
        <w:t>Ацетон - важный продукт химической промышленности. Его получают совместно с фенолом кумольным методом.</w:t>
      </w:r>
      <w:r>
        <w:t xml:space="preserve"> </w:t>
      </w:r>
      <w:r w:rsidRPr="0011135C">
        <w:t xml:space="preserve">Ацетон применяется как растворитель. Он также является исходным веществом для синтеза многих органических соединений. Ацетофенон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Генетическая связь альдегидов.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2. Номенклатура альдегидов и кетонов.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Систематические названия альдегидов строят по названию соответствующего углеводорода и добавлением суффикса -аль. Нумерацию цепи начинают с карбонильного атома углерода. Тривиальные названия производят от тривиальных названий тех кислот, в которые альдегиды превращаются при окислении.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Номенклатура альдегидов и кетонов.</w:t>
      </w:r>
    </w:p>
    <w:tbl>
      <w:tblPr>
        <w:tblW w:w="5000" w:type="pct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4"/>
        <w:gridCol w:w="3053"/>
        <w:gridCol w:w="3841"/>
      </w:tblGrid>
      <w:tr w:rsidR="000C1075" w:rsidRPr="0011135C" w:rsidTr="001E5E81">
        <w:trPr>
          <w:cantSplit/>
          <w:jc w:val="center"/>
        </w:trPr>
        <w:tc>
          <w:tcPr>
            <w:tcW w:w="1500" w:type="pct"/>
            <w:vMerge w:val="restar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Формула</w:t>
            </w:r>
          </w:p>
        </w:tc>
        <w:tc>
          <w:tcPr>
            <w:tcW w:w="3500" w:type="pct"/>
            <w:gridSpan w:val="2"/>
            <w:shd w:val="clear" w:color="FFFFFF" w:fill="auto"/>
          </w:tcPr>
          <w:p w:rsidR="000C1075" w:rsidRPr="0011135C" w:rsidRDefault="000C1075" w:rsidP="001E5E81">
            <w:r w:rsidRPr="0011135C">
              <w:t>Название</w:t>
            </w:r>
          </w:p>
        </w:tc>
      </w:tr>
      <w:tr w:rsidR="000C1075" w:rsidRPr="0011135C" w:rsidTr="001E5E81">
        <w:trPr>
          <w:cantSplit/>
          <w:jc w:val="center"/>
        </w:trPr>
        <w:tc>
          <w:tcPr>
            <w:tcW w:w="1500" w:type="pct"/>
            <w:vMerge/>
            <w:vAlign w:val="center"/>
          </w:tcPr>
          <w:p w:rsidR="000C1075" w:rsidRPr="0011135C" w:rsidRDefault="000C1075" w:rsidP="001E5E81"/>
        </w:tc>
        <w:tc>
          <w:tcPr>
            <w:tcW w:w="1550" w:type="pct"/>
            <w:shd w:val="clear" w:color="FFFFFF" w:fill="auto"/>
          </w:tcPr>
          <w:p w:rsidR="000C1075" w:rsidRPr="0011135C" w:rsidRDefault="000C1075" w:rsidP="001E5E81">
            <w:r w:rsidRPr="0011135C">
              <w:t>систематическое</w:t>
            </w:r>
          </w:p>
        </w:tc>
        <w:tc>
          <w:tcPr>
            <w:tcW w:w="1950" w:type="pct"/>
            <w:shd w:val="clear" w:color="FFFFFF" w:fill="auto"/>
          </w:tcPr>
          <w:p w:rsidR="000C1075" w:rsidRPr="0011135C" w:rsidRDefault="000C1075" w:rsidP="001E5E81">
            <w:r w:rsidRPr="0011135C">
              <w:t>тривиальное</w:t>
            </w:r>
          </w:p>
        </w:tc>
      </w:tr>
      <w:tr w:rsidR="000C1075" w:rsidRPr="0011135C" w:rsidTr="001E5E81">
        <w:trPr>
          <w:jc w:val="center"/>
        </w:trPr>
        <w:tc>
          <w:tcPr>
            <w:tcW w:w="150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H2C=O</w:t>
            </w:r>
          </w:p>
        </w:tc>
        <w:tc>
          <w:tcPr>
            <w:tcW w:w="15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метаналь</w:t>
            </w:r>
          </w:p>
        </w:tc>
        <w:tc>
          <w:tcPr>
            <w:tcW w:w="19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муравьиный альдегид (формальдегид)</w:t>
            </w:r>
          </w:p>
        </w:tc>
      </w:tr>
      <w:tr w:rsidR="000C1075" w:rsidRPr="0011135C" w:rsidTr="001E5E81">
        <w:trPr>
          <w:jc w:val="center"/>
        </w:trPr>
        <w:tc>
          <w:tcPr>
            <w:tcW w:w="150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CH3CH=O</w:t>
            </w:r>
          </w:p>
        </w:tc>
        <w:tc>
          <w:tcPr>
            <w:tcW w:w="15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этаналь</w:t>
            </w:r>
          </w:p>
        </w:tc>
        <w:tc>
          <w:tcPr>
            <w:tcW w:w="19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уксусный альдегид (ацетальдегид)</w:t>
            </w:r>
          </w:p>
        </w:tc>
      </w:tr>
      <w:tr w:rsidR="000C1075" w:rsidRPr="0011135C" w:rsidTr="001E5E81">
        <w:trPr>
          <w:jc w:val="center"/>
        </w:trPr>
        <w:tc>
          <w:tcPr>
            <w:tcW w:w="150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(CH3)2CHCH=O</w:t>
            </w:r>
          </w:p>
        </w:tc>
        <w:tc>
          <w:tcPr>
            <w:tcW w:w="15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2-метил-пропаналь</w:t>
            </w:r>
          </w:p>
        </w:tc>
        <w:tc>
          <w:tcPr>
            <w:tcW w:w="19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изомасляный альдегид</w:t>
            </w:r>
          </w:p>
        </w:tc>
      </w:tr>
      <w:tr w:rsidR="000C1075" w:rsidRPr="0011135C" w:rsidTr="001E5E81">
        <w:trPr>
          <w:jc w:val="center"/>
        </w:trPr>
        <w:tc>
          <w:tcPr>
            <w:tcW w:w="150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CH3CH=CHCH=O</w:t>
            </w:r>
          </w:p>
        </w:tc>
        <w:tc>
          <w:tcPr>
            <w:tcW w:w="15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бутен-2-аль</w:t>
            </w:r>
          </w:p>
        </w:tc>
        <w:tc>
          <w:tcPr>
            <w:tcW w:w="1950" w:type="pct"/>
            <w:shd w:val="clear" w:color="FFFFFF" w:fill="auto"/>
            <w:vAlign w:val="center"/>
          </w:tcPr>
          <w:p w:rsidR="000C1075" w:rsidRPr="0011135C" w:rsidRDefault="000C1075" w:rsidP="001E5E81">
            <w:r w:rsidRPr="0011135C">
              <w:t>кротоновый альдегид</w:t>
            </w:r>
          </w:p>
        </w:tc>
      </w:tr>
    </w:tbl>
    <w:p w:rsidR="000C1075" w:rsidRDefault="000C1075" w:rsidP="000C1075">
      <w:pPr>
        <w:spacing w:before="120"/>
        <w:ind w:firstLine="567"/>
        <w:jc w:val="both"/>
      </w:pPr>
      <w:r w:rsidRPr="0011135C">
        <w:t xml:space="preserve">Альдегиды (алканали). В молекулах альдегидов карбонильная группа соединена с углеводородным радикалом и атомом водорода (или двумя атомами водорода ), т. е. общая формула этих соединений: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Названия альдегидов по заместительной номенклатуре в соответствии с правилами ИЮПАК производят из названия соответствующего углеводорода с добавлением окончания -аль. Перед корнем названия записывают боковые заместители с указанием их положения их числа. Нумерация атомов углерода начинается с углеродного атома карбонильной группы. Примеры: </w:t>
      </w:r>
      <w:r>
        <w:t xml:space="preserve"> </w:t>
      </w:r>
      <w:r w:rsidRPr="0011135C">
        <w:t>бутаналь</w:t>
      </w:r>
      <w:r>
        <w:t xml:space="preserve"> </w:t>
      </w:r>
      <w:r w:rsidRPr="0011135C">
        <w:t>3,4-диметилпентенель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3. Свойства альдегидов.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Физические свойства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Первый член гомологического ряда предельных альдегидов НСНО - бесцветный газ, несколько последующих альдегидов - жидкости. Высшие альдегиды - твердые вещества. Карбонильная группа обуславливает высокую реакционную способность альдегидов. Температура кипения альдегидов возрастает с увеличением молекулярной массы. Кипят они при более низкой температуре, чем соответствующие спирты, например пропионовый альдегид при 48,8 оС, а пропиловый спирт - при 97,8 оС. Плотность альдегдов меньше единицы. Муравьиный и уксусный альдегиды хорошо растворяются в воде, последующие - хуже. Низшие альдегиды имеют резкий, неприятный запах, некоторые высшие - приятный запах.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Систематические названия кетонов несложного строения производят от названий радикалов (в порядке увеличения) с добавлением слова кетон. Например: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CH3–CO–CH3 - диметилкетон (ацетон);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CH3CH2CH2–CO–CH3 - метилпропилкетон.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В более общем случае название кетона строится по названию соответствующего углеводорода и суффикса -он; нумерацию цепи начинают от конца цепи, ближайшего к карбонильной группе (заместительная номенклатура ИЮПАК).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Примеры: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CH3–CO–CH3 - пропанон (ацетон);</w:t>
      </w:r>
    </w:p>
    <w:p w:rsidR="000C1075" w:rsidRPr="0011135C" w:rsidRDefault="000C1075" w:rsidP="000C1075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 xml:space="preserve">CH3CH2CH2–CO–CH3 - </w:t>
      </w:r>
      <w:r w:rsidRPr="0011135C">
        <w:t>пентанон</w:t>
      </w:r>
      <w:r w:rsidRPr="0011135C">
        <w:rPr>
          <w:lang w:val="en-US"/>
        </w:rPr>
        <w:t xml:space="preserve">-2; </w:t>
      </w:r>
    </w:p>
    <w:p w:rsidR="000C1075" w:rsidRPr="0011135C" w:rsidRDefault="000C1075" w:rsidP="000C1075">
      <w:pPr>
        <w:spacing w:before="120"/>
        <w:ind w:firstLine="567"/>
        <w:jc w:val="both"/>
        <w:rPr>
          <w:lang w:val="en-US"/>
        </w:rPr>
      </w:pPr>
      <w:r w:rsidRPr="0011135C">
        <w:rPr>
          <w:lang w:val="en-US"/>
        </w:rPr>
        <w:t xml:space="preserve">CH2=CH–CH2–CO–CH3 - </w:t>
      </w:r>
      <w:r w:rsidRPr="0011135C">
        <w:t>пентен</w:t>
      </w:r>
      <w:r w:rsidRPr="0011135C">
        <w:rPr>
          <w:lang w:val="en-US"/>
        </w:rPr>
        <w:t>-4-</w:t>
      </w:r>
      <w:r w:rsidRPr="0011135C">
        <w:t>он</w:t>
      </w:r>
      <w:r w:rsidRPr="0011135C">
        <w:rPr>
          <w:lang w:val="en-US"/>
        </w:rPr>
        <w:t xml:space="preserve">-2.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Слово "альдегид" буквально означает "спирт, лишенный водорода" (от лат. alcohol dehydrogenatus), т. е. окисленный спирт.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Химические свойства альдегидов.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Наличие карбонильной группы определяет большую реакционную способность альдегидов. Двойная связь между кислородом и углеродом в группе С = О в отличие от обычной двойной углерод-углеродной связи сильно поляризована, так как кислород обладает значительно большей электроотрицательностью, чем углерод, и электронная плотность p-связи смещается к кислороду: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Окисление альдегидов оксидом серебра в аммиачном растворе (реакция "серебряного зеркала"). При нагревании оксид серебра окисляет альдегид и сам восстанавливается до чистого серебра: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Восстановленное серебро, покрывая стенки сосуда тонким слоем, образует серебряное зеркало.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Окисление альдегидов гидроксидом меди (II). Свежеприготовленный голубой осадок гидроксила меди (II), окисляя альдегид, при нагревании до кирпично-красного осадка оксида меди (I):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Часто для проведения этой реакции используют темно-синюю жидкость Фелинга - смесь растворов сульфата меди (II) со щелочным раствором сегнетовой соли (калиево-натриевая соль винной кислоты КООН - СНОН - СНОН - СООNa). При нагревании с альдегидом синий цвет реактива исчезает и выпадает в осадок оксид меди (II).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Реакции присоединения. Альдегиды легко присоединяют циановодород HCN и гидросульфит натрия NaHSO3: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Продукты присоединения NaHSO3 - кристаллические вещества, растворимые в воде. При нагревании с кислотами они распадаются с образованием исходного альдегида. Поэтому последняя реакция применяется для очистки альдегидов.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В присутствии никелевых или платиновых катализаторов альдегиды присоединяют водород и восстанавливаются до первичных спиртов, например: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Присоединяя спирты, альдегиды образуют соединения, которые имеют название ацетали. Реакция протекает в присутствии кислот: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Ацетали представляют собой простые эфиры двухатомного спирта. Они легко гидролизуются с образованием исходных веществ.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Реакция полимеризации и конденсации. Эти реакции характерны для альдегидов и обусловлены реакционной способностью карбонильной групы. Процессы полимеризации рассмотрены ниже.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Все молекулы альдегида могут соединяться друг с другом в присутствии щелочи с образованием соединения с более длинной углеродной цепью, которое содержит альдегидную и гидроксильную группы: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Такое вещество называют альдолем. При отщеплении молекулы воды от гидроксибутаналя образуется альдегид, содержащий двойную связь в цепи: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Подобные реакции конденсации альдегидов называются альдольно-кротоновой конденсации. При конденсации других альдегидов реакция также всегда протекает с участием второго углеродного атома одной из молекул, например: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Окисление. При окислении альдегидов, которое протекает очень легко, образуются органические кислоты или их соли. Например при окислении уксусного альдегида образуется уксусная кислота: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Замещение кислорода карбонильной группы. Атом кислорода в молекуле альдегида может быть замещен на галоген при действии галогенидов фосфора PCl5 или PBr5, например: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При действии гидроксиламина NH2OH на альдегиды карбонильный кислород замещается на оксимидную группу =N - OH: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 xml:space="preserve">Образующееся азотосодержащее органическое соединение относится к оксимам. Взаимодействие с галогенами. Как уже отмечалось, атом водорода при втором атоме углеводородной цепи альдегидов обладает повышенной подвижностью. При взаимодействии альдегидов с хлором или бромом этот водородный атом легко замещается на галоген, например: 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4. Получение.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Окисление первичных и вторичных спиртов – классический способ получения соответственно альдегидов и кетонов. Число предложенных в литературе окислителей огромно. Выбраны лишь некоторые: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Бихромат натрия или оксид хрома (IV) в водной серной кислоте ( реактив Джонса). Система бихромат – серная кислота может применяться и в органических средах (ДМСО). Окисление хромовой кислотой, как правило, нежелательно для спиртов, содержащих неустойчивые к действию кислот или легкоокисляющиеся фрагменты (например, С=С, аллильные или бензильные С–Н-связи), а в случае первичных спиртов зачастую вызывает переокисление до карбоновых кислот.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Пиридиния хлорохромат (ПХХ) в дихлорметане (реактив Кори). Благодаря простоте получения и применения ПХХ является важной альтернативой широко используемому комплексу оксида хрома (VI) с пиридином (реактив Коллинза), поскольку в первом случае достигаются лучшие выходы, а неустойчивые к действию кислот спирты можно "гладко" окислить системами ПХХ-ацетат натрия или ПХХ-оксид алюминия.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Пиридиния бихромат (ПБХ) применяется как селективный окислитель для первичных, вторичных, а также аллильных и бензилыных ОН-групп. Последние окисляются также активированные диоксидом марганца.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Еще одним простым и эффективным методом получения альдегидов и кетонов из первичных и соответственно вторичных спиртов является окисление по Кори-Киму (комплекс хлорсукцинимид – диметилсульфид). Кроме того, вторичные спирты окисляются по реакции Оппенауэра алкоксидами алюминия и ацетоном в качестве акцептора гидрид-иона.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Наиболее мягким, а зачастую и самым лучшим методом, особенно синтеза альдегидов, является окисление по Сверну (ДМСО-оксалилхлорид). Правда, этот метод можно применять лишь для небольших загрузок (&lt;0,3 моль). Окисление тетрапропиламмонийперрутенатом и N-метилморфолин-N-оксидом также достаточно мягкие методы.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Первичные алкил- и аллилгалогениды, а также тозилаты первичных спиртов превращаются в альдегиды под действием ДМСО, т. е. окислением по Корнблюму. Первичные спирты могут также окисляться диметилсульфоксидом в присутствии дициклогексилкарбодиимида, что особенно распространено в химии углеводов.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Для восстановления карбоновых кислот и производных карбоновых кислот до альдегидов применяют ряд методов: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а) Хлорангидриды кислот можно наряду с восстановлением по Розенмунду (Pd-BaSO4, улучшенный вариант) легко и препаративно просто превратить в альдегиды посредством Li[Hal(OEt)3].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б) Точно так же используют амиды карбоновых кислот, которые восстанавливаются в виде N,N-диметиламидов посредством Li[Hal(OEt)3] или в виде N-метиланилидов посредством LiAlH4.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в) Прямое восстановление карбоновых кислот, ангидридов карбоновыхх кислот и нитрилов до альдегидов осуществляется с помощью изобутилалюминийгидрида (ДБАГ).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Для получения ароматических альдегидов наряду с окислением метиларенов (по реакции Эгара или аммонийцерий (IV) нитратом) и бензиловых спиртов применяют прямое формилирование (активированных) ароматических соединений диметилформамидом или М-метилформанилидом и оксихлоридом фосфора по Вильсмейеру. Старые методы (синтез альдегидов по Гаттерману или по Гаттерману-Коху), несмотря на усовершенствования (например, синтез Гаттеррмана-Коха без синильной кислоты с применением симм-триазина, теряют свое значение. Система Cl2CH–O–R (R = Ме, Вu) в сочетании с SnCl4 позволяет проводить формилирование таких неустойчивых ароматических соединений, как аннулены. Реакция Вильсмейера может служить методом введения альдегидной группы в гетероароматические соединения.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Кетоны с ароматическими и гетероциклическими заместителями получают ацилированием ароматических и гетероциклических соединений хлорангидридами и ангидридами кислот в присутствии кислот Льюиса. Среди других многочисленных синтетических методов определенное значение имеет реакция Хеша (индуцируемое кислотами присоединение нитрилов к активированным ароматическим и гетероароматическим соединениям). Кроме того, широко используется внутримолекулярное ацилирование по Фриделю-Крафтсу арилалкановых кислот с образованием бензоцикланонов.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Для синтеза альдегидов по Мейеру используют 2-оксазолины (2-оксазины). После N-кватернизации по положению 2 присоединяется реактив Гриньяра и полученное ацетальаминалыюе производное затем гидролизуется до альдегида. Таким образом можно осуществить превращение R–X –&gt; R–CH=O.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Привлечение металлоорганических соединений открывает путь к многосторонним препаративным методам получения кетонов и альдегидов. Принцип ацилирующего расщепления связей С–М (М -металл) хлорангидридами кислот имеет разнообразное применение, как, например, в случае кадмийорганических соединений, оловоорганических соединений SnR4, при катализе палладием и силанами (CH3)3Si–R. Реактивы Гриньяра при особых условиях можно проацилировать с образованием кетонов не только хлорангидридами кислот, но и легкодоступными ацилимидазолидами по Штаабу. Достаточно широкое применение в синтезе кетонов находит реакция присоединения реактивов Гриньяра к нитрилам, прежде всего ароматическим.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Для синтеза альдегидов и кетонов можно использовать и реакции окислительного расщепления. К ним относятся озонолиз, проводимы в особых условиях, а также расщепление гликолей под действием Pb(ОАс)4 в апротонной среде или под действием NaIO4 в водной среде.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Синтетическое значение для получения альдегидов и кетонов имее оксиперегруппировка по Коупу. 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Для синтеза высокоактивных диальдегидов (например, малонового и янтарного диальдегидов) и их ацеталей применяют специальные методы.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Окисление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Восстановление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Применение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Наибольшее применение имеют метаналь и этаналь. Большое количество метаналя используется для получения фенолформальдегидной смолы, которую получают при взаимодействии метаналя с фенолом. Эта смола необходима для производства различных пластмасс. Пластмассы, изготовленные из фенолформальдегидной смолы в сочетании с различными наполнителями, называются фенопластами. При растворении фенолформальдегидной смолы в ацетоне или спирте получают различные лаки.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При взаимодействии метаналя с карбамидом СО(МНг)2 получают карбамидную смолу, а из нее — аминопласты. Из этих пластмасс изготовляют микропористые материалы для нужд электротехники.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Метаналь идет также на производство некоторых лекарственных веществ и красителей.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Широко применяется водный раствор, содержащий в массовых долях 0,4, или 40%, метаналя. Он называется формалином. Его использование основано на свойстве свертывать белок. Так, например, в кожевенном производстве дубящее действие формалина объясняется свертыванием белка, в результате чего кожа твердеет и не подвергается гниению. На этом же свойстве основано применение формалина для сохранения биологических препаратов. Иногда формалин используется для дезинфекции и протравливания семян.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Этаналь в основном идет на производство уксусной</w:t>
      </w:r>
      <w:r>
        <w:t xml:space="preserve">  </w:t>
      </w:r>
      <w:r w:rsidRPr="0011135C">
        <w:t>кислоты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Применение альдегидов в медицине.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Формальдегид (формалин), прозрачная бесцветная жидкость со своеобразным острым запахом. Применяют как дезинфицирующее и дезодорирующее средство для мытья рук, обмывания кожи при повышенной потливости (0,5-1 %), для дезинфекции инструментов (0,5 %), для спринцеваний (1:2000 - 1:3000). Входит в состав лизоформа.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Формидрон </w:t>
      </w:r>
      <w:r>
        <w:t xml:space="preserve"> </w:t>
      </w:r>
      <w:r w:rsidRPr="0011135C">
        <w:t>- жидкость, содержащая раствора формальдегида 10 частей, спирта этилового 95 % 40 частей, воды 50 частей, одеколона 0,5 частей. Применяют для протирания кожи при повышенной потливости.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Мазь формальдегидная, белого цвета со слабым запахом формалина и отдушки. Применяют при повышенной потливости, втирают в подмышечняю впадины один раз в сутки, в межпальцевые складки.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Лизоформ мыльный раствор формальдегида. Состав: формалина 40 частей, мыла калийного 40 частей, спирта 20 частей. Оказывает дезинфицирующее и дезодорирующее действие. Применяют для спринцевания в гинекологической практике, для дезинфекции рук (1-3 % растворы).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Уротропин (гексаметилентетрамин), бесцветные кристаллы без запаха, легко растворимы в воде. Водные растворы имеют щелочную реакцию. Применяют главным образом при инфекционных процессах мочевыводящих путей (циститах, пиелитах).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Действие основано на способности препарата разлагаться в кислой среде с образованием формальдегида. Назначают препарат натощак. Показаниями для его применения служат холециститы, холангиты, аллергические заболевания кожи, глаз (кератиты, иридоциклиты и др.). Препарат может вызвать раздражение паренхимы почек, при этих признаках прием препарата прекращают.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Уросал, таблетки, содержащие по 0,3 г гексаметилентетрамина и фенилсалицилата.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Кальцекс - таблетки белого цвета, солено-горького вкуса, легко растворимы в воде.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Содержат 0,5 г комплексной соли гексаметилентетрамина и кальция хлорида. Применяют по 1-2 таблетки 3-4 раза в день при простудных заболеваниях.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Циминаль, подавляет (местно) грамположительные и грамотрицательные бактерии, способствует эпителизации и заживлению ран. Применяют наружно при лечении ран, пиодермии, трофических язв, ожогов.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Назначают в виде порошка (для припудривания) или 1-3 % суспензии, которую наносят на поврежденную поверхность, перевязки через 3-4 дня. При длительном применении препарата возможно возникновение дерматитов, чувства жжения и зуда.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Заключение.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 xml:space="preserve">Человек не знакомый с органической химией и в частности со свойствами, особенностями, применением альдегидов и кетонов может быть поражен насколько наша жизнь зависит от группы этих веществ. 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Благодаря тому, что получение альдегидов и кетонов возможно различными простыми и доступными способами, мы не испытываем недостатка во многих предметах необходимых для нашего существования. Можно привести огромное число примеров. Вот только некоторые из них: альдегиды необходимы для получения пластмасс, лаков, лекарственных веществ, красителей, уксусной кислоты. Так же</w:t>
      </w:r>
      <w:r>
        <w:t xml:space="preserve"> </w:t>
      </w:r>
      <w:r w:rsidRPr="0011135C">
        <w:t>они находят применение в медицине и электротехнике, парфюмерии и кулинарии.</w:t>
      </w:r>
    </w:p>
    <w:p w:rsidR="000C1075" w:rsidRPr="009C6B64" w:rsidRDefault="000C1075" w:rsidP="000C1075">
      <w:pPr>
        <w:spacing w:before="120"/>
        <w:jc w:val="center"/>
        <w:rPr>
          <w:b/>
          <w:bCs/>
          <w:sz w:val="28"/>
          <w:szCs w:val="28"/>
        </w:rPr>
      </w:pPr>
      <w:r w:rsidRPr="009C6B64">
        <w:rPr>
          <w:b/>
          <w:bCs/>
          <w:sz w:val="28"/>
          <w:szCs w:val="28"/>
        </w:rPr>
        <w:t>Список литературы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Ю.А.Овчинников. Биоорганическая химия. М.:Просвещение,1987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А.М.Радецкий. Органическая химия и медицина.//Химия в школе(1995),N3:4043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Ю.А.Овчинников. Химия жизни (Избранные труды). М.:Наука,1990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А.Е.Браунштейн. На стыке химии и биологии. М.:Наука,1987</w:t>
      </w:r>
    </w:p>
    <w:p w:rsidR="000C1075" w:rsidRPr="0011135C" w:rsidRDefault="000C1075" w:rsidP="000C1075">
      <w:pPr>
        <w:spacing w:before="120"/>
        <w:ind w:firstLine="567"/>
        <w:jc w:val="both"/>
      </w:pPr>
      <w:r w:rsidRPr="0011135C">
        <w:t>Г.Б.Шульпин. Химия для всех. М.:Знание,1987</w:t>
      </w:r>
    </w:p>
    <w:p w:rsidR="000C1075" w:rsidRDefault="000C1075" w:rsidP="000C1075">
      <w:pPr>
        <w:spacing w:before="120"/>
        <w:ind w:firstLine="567"/>
        <w:jc w:val="both"/>
      </w:pPr>
      <w:r w:rsidRPr="0011135C">
        <w:t>Г.Е. Рудзитис, Ф.Г. Фельдман, Химия: Органическая химия: учеб. Для 10 кл. ср. шк. – М.: Просвещение, 1991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075"/>
    <w:rsid w:val="00095BA6"/>
    <w:rsid w:val="000C1075"/>
    <w:rsid w:val="0011135C"/>
    <w:rsid w:val="00127217"/>
    <w:rsid w:val="001E5E81"/>
    <w:rsid w:val="0031418A"/>
    <w:rsid w:val="005A2562"/>
    <w:rsid w:val="006C1E1B"/>
    <w:rsid w:val="009C6B64"/>
    <w:rsid w:val="00A04377"/>
    <w:rsid w:val="00A44D32"/>
    <w:rsid w:val="00A711E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BD42E6-AFF1-4678-8413-A245D2D6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7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1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3147</Words>
  <Characters>17940</Characters>
  <Application>Microsoft Office Word</Application>
  <DocSecurity>0</DocSecurity>
  <Lines>149</Lines>
  <Paragraphs>42</Paragraphs>
  <ScaleCrop>false</ScaleCrop>
  <Company>Home</Company>
  <LinksUpToDate>false</LinksUpToDate>
  <CharactersWithSpaces>21045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Альдегиды</dc:title>
  <dc:subject/>
  <dc:creator>Alena</dc:creator>
  <cp:keywords/>
  <dc:description/>
  <cp:lastModifiedBy>admin</cp:lastModifiedBy>
  <cp:revision>2</cp:revision>
  <dcterms:created xsi:type="dcterms:W3CDTF">2014-02-18T04:53:00Z</dcterms:created>
  <dcterms:modified xsi:type="dcterms:W3CDTF">2014-02-18T04:53:00Z</dcterms:modified>
</cp:coreProperties>
</file>