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Ранее движение артезианских вод уподобляли потоку в трубе с источником питания, расположенным выше точки истечения воды. В большинстве учебников гидрогеологии артезианский бассейн представлен в виде синклинальной структуры с областями питания, расположенными выше уровня разгрузки воды. Первоначальный уровень артезианских вод постепенно понижается от областей питания в сторону очага разгрузки. Артезианский водоносный горизонт залегает между пористыми, но почти непроницаемыми слоями, называемыми водоупорами и слабоводопроницаемыми слоями. Такое строение типично для многих больших артезианских бассейнов. Однако в природных условиях их разнообразие бесконечно. Ниже описано несколько типичных артезианских бассейнов.</w:t>
      </w:r>
    </w:p>
    <w:p w:rsidR="006C644B" w:rsidRDefault="006C644B" w:rsidP="00427478">
      <w:pPr>
        <w:pStyle w:val="a3"/>
        <w:spacing w:before="0" w:beforeAutospacing="0" w:after="0" w:afterAutospacing="0" w:line="360" w:lineRule="auto"/>
        <w:ind w:firstLine="709"/>
        <w:jc w:val="both"/>
        <w:rPr>
          <w:sz w:val="28"/>
          <w:szCs w:val="28"/>
        </w:rPr>
      </w:pPr>
      <w:r w:rsidRPr="00427478">
        <w:rPr>
          <w:sz w:val="28"/>
          <w:szCs w:val="28"/>
        </w:rPr>
        <w:t>На рис. 2.11, а показан артезианский бассейн с низким напором, формирующимся в области распространения закрепленных дюнных песков. Здесь заболоченные низины служат слабоводопроницаемыми слоями. На рис. 2.11,б изображен водоносный горизонт, представляющий собой зону трещиноватости, образованную разрывным смещением консолидированных водонепроницаемых пород. Такие водоносные горизонты обладают большим напором, но низкой производительностью. На рис. 2.11, в видно, что артезианский водоносный горизонт может представлять собой не только синклиналь, но и антиклиналь. Горизонтально залегающие породы часто образуют артезианские водоносные горизонты. Напорные водоносные горизонты также распространены в ледниковых отложениях. На рис. 2.11, д показана артезианская скважина, вскрывающая напорные воды на контакте флювиогляциальных и моренных отложений.</w:t>
      </w:r>
    </w:p>
    <w:p w:rsidR="00427478" w:rsidRDefault="00427478" w:rsidP="00427478">
      <w:pPr>
        <w:pStyle w:val="a3"/>
        <w:spacing w:before="0" w:beforeAutospacing="0" w:after="0" w:afterAutospacing="0" w:line="360" w:lineRule="auto"/>
        <w:ind w:firstLine="709"/>
        <w:jc w:val="both"/>
        <w:rPr>
          <w:sz w:val="28"/>
          <w:szCs w:val="28"/>
        </w:rPr>
      </w:pPr>
    </w:p>
    <w:p w:rsidR="006C644B" w:rsidRDefault="00427478" w:rsidP="00427478">
      <w:pPr>
        <w:pStyle w:val="a3"/>
        <w:spacing w:before="0" w:beforeAutospacing="0" w:after="0" w:afterAutospacing="0" w:line="360" w:lineRule="auto"/>
        <w:ind w:firstLine="709"/>
        <w:jc w:val="both"/>
        <w:rPr>
          <w:sz w:val="28"/>
          <w:szCs w:val="28"/>
        </w:rPr>
      </w:pPr>
      <w:r>
        <w:rPr>
          <w:sz w:val="28"/>
          <w:szCs w:val="28"/>
        </w:rPr>
        <w:br w:type="page"/>
      </w:r>
      <w:r w:rsidR="00416C7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Элементы классической артезианской системы в виде синклинали" style="width:265.5pt;height:88.5pt;mso-wrap-distance-left:4.5pt;mso-wrap-distance-right:4.5pt">
            <v:imagedata r:id="rId4" o:title=""/>
          </v:shape>
        </w:pict>
      </w:r>
    </w:p>
    <w:p w:rsidR="00427478" w:rsidRPr="00427478" w:rsidRDefault="00427478" w:rsidP="00427478">
      <w:pPr>
        <w:pStyle w:val="a3"/>
        <w:spacing w:before="0" w:beforeAutospacing="0" w:after="0" w:afterAutospacing="0" w:line="360" w:lineRule="auto"/>
        <w:ind w:firstLine="709"/>
        <w:jc w:val="both"/>
        <w:rPr>
          <w:sz w:val="28"/>
          <w:szCs w:val="28"/>
        </w:rPr>
      </w:pPr>
    </w:p>
    <w:p w:rsidR="006C644B" w:rsidRDefault="006C644B" w:rsidP="00427478">
      <w:pPr>
        <w:pStyle w:val="a3"/>
        <w:spacing w:before="0" w:beforeAutospacing="0" w:after="0" w:afterAutospacing="0" w:line="360" w:lineRule="auto"/>
        <w:ind w:firstLine="709"/>
        <w:jc w:val="center"/>
        <w:rPr>
          <w:b/>
          <w:bCs/>
          <w:sz w:val="28"/>
          <w:szCs w:val="28"/>
        </w:rPr>
      </w:pPr>
      <w:r w:rsidRPr="00427478">
        <w:rPr>
          <w:b/>
          <w:bCs/>
          <w:sz w:val="28"/>
          <w:szCs w:val="28"/>
        </w:rPr>
        <w:t>Балтийско-Польский артезианский бассейн</w:t>
      </w:r>
    </w:p>
    <w:p w:rsidR="00427478" w:rsidRPr="00427478" w:rsidRDefault="00427478" w:rsidP="00427478">
      <w:pPr>
        <w:pStyle w:val="a3"/>
        <w:spacing w:before="0" w:beforeAutospacing="0" w:after="0" w:afterAutospacing="0" w:line="360" w:lineRule="auto"/>
        <w:ind w:firstLine="709"/>
        <w:jc w:val="both"/>
        <w:rPr>
          <w:sz w:val="28"/>
          <w:szCs w:val="28"/>
        </w:rPr>
      </w:pP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Сложные гидрогеологические условия в</w:t>
      </w:r>
      <w:r w:rsidR="00427478">
        <w:rPr>
          <w:sz w:val="28"/>
          <w:szCs w:val="28"/>
        </w:rPr>
        <w:t xml:space="preserve"> </w:t>
      </w:r>
      <w:r w:rsidRPr="00427478">
        <w:rPr>
          <w:sz w:val="28"/>
          <w:szCs w:val="28"/>
        </w:rPr>
        <w:t>пределах рассматриваемого бассейна, связанные с различным геологическим строением его частей, обусловили и особенности распределения эксплуатационных ресурсов пресных подземных вод.</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 строении водосодержащей толщи зоны интенсивного водообмена, к которой приурочены основные ресурсы пресных подземных вод, принимают участие отложения от четвертичного до докембрийского возраста. Наибольшее площадное распространение имеют основные водоносные горизонты четвертичных, швентойско-тартусских и сеном-туронских отложений.</w:t>
      </w:r>
    </w:p>
    <w:p w:rsidR="006C644B"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Общая величина естественных ресурсов подземных вод по Балтийско-Польскому бассейну равна примерно 700 мз/с. Основная часть 50% естественных ресурсов сосредоточена в, аллювиальных, флювиогляциальных и других генетических типах четвертичных отложений, около 20% ресурсов приурочено </w:t>
      </w:r>
      <w:r w:rsidRPr="00427478">
        <w:rPr>
          <w:iCs/>
          <w:sz w:val="28"/>
          <w:szCs w:val="28"/>
        </w:rPr>
        <w:t xml:space="preserve">к </w:t>
      </w:r>
      <w:r w:rsidRPr="00427478">
        <w:rPr>
          <w:sz w:val="28"/>
          <w:szCs w:val="28"/>
        </w:rPr>
        <w:t>сенонтуронским отложениям (табл. 2).</w:t>
      </w:r>
    </w:p>
    <w:p w:rsidR="00427478" w:rsidRDefault="00427478" w:rsidP="00427478">
      <w:pPr>
        <w:pStyle w:val="a3"/>
        <w:spacing w:before="0" w:beforeAutospacing="0" w:after="0" w:afterAutospacing="0" w:line="360" w:lineRule="auto"/>
        <w:ind w:firstLine="709"/>
        <w:jc w:val="both"/>
        <w:rPr>
          <w:sz w:val="28"/>
          <w:szCs w:val="28"/>
        </w:rPr>
      </w:pPr>
    </w:p>
    <w:p w:rsidR="006C644B" w:rsidRPr="00427478" w:rsidRDefault="00427478" w:rsidP="00427478">
      <w:pPr>
        <w:pStyle w:val="a3"/>
        <w:spacing w:before="0" w:beforeAutospacing="0" w:after="0" w:afterAutospacing="0" w:line="360" w:lineRule="auto"/>
        <w:jc w:val="both"/>
        <w:rPr>
          <w:sz w:val="28"/>
          <w:szCs w:val="28"/>
        </w:rPr>
      </w:pPr>
      <w:r>
        <w:rPr>
          <w:sz w:val="28"/>
          <w:szCs w:val="28"/>
        </w:rPr>
        <w:br w:type="page"/>
      </w:r>
      <w:r w:rsidR="00416C7D">
        <w:rPr>
          <w:sz w:val="28"/>
          <w:szCs w:val="28"/>
        </w:rPr>
        <w:pict>
          <v:shape id="_x0000_i1026" type="#_x0000_t75" alt="Ресурсы воды" style="width:371.25pt;height:412.5pt">
            <v:imagedata r:id="rId5" o:title=""/>
          </v:shape>
        </w:pict>
      </w:r>
    </w:p>
    <w:p w:rsidR="00427478" w:rsidRDefault="00427478" w:rsidP="00427478">
      <w:pPr>
        <w:pStyle w:val="a3"/>
        <w:spacing w:before="0" w:beforeAutospacing="0" w:after="0" w:afterAutospacing="0" w:line="360" w:lineRule="auto"/>
        <w:ind w:firstLine="709"/>
        <w:jc w:val="both"/>
        <w:rPr>
          <w:sz w:val="28"/>
          <w:szCs w:val="28"/>
        </w:rPr>
      </w:pP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Среднемноголетний модуль подземного стока изменяется в широких пределах (от 1 до 5 — 6 л/с на 1 км), в среднем для всей площади бассейна модуль равен 2 — 3 л/с на 1 км. Наиболее высокие значения модуля подземного стока наблюдаются на севере Эстонии, в районе распространения известняков ордовика и силура, и в центральной части бассейна на площади развития,</w:t>
      </w:r>
      <w:r w:rsidR="00427478">
        <w:rPr>
          <w:sz w:val="28"/>
          <w:szCs w:val="28"/>
        </w:rPr>
        <w:t xml:space="preserve"> </w:t>
      </w:r>
      <w:r w:rsidRPr="00427478">
        <w:rPr>
          <w:sz w:val="28"/>
          <w:szCs w:val="28"/>
        </w:rPr>
        <w:t>мощной толщи четвертичных отложений. В целом по бассейну наблюдается тенденция уменьшения модуля в южном направлении по мере уменьшения влажности климата.</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Эксплуатационные ресурсы подземных вод Балтийско-Польского бассейна оцениваются примерно в 430 м/с, из них около половины приходится на долю восполняемых. Восполняемые ресурсы принимаются равными около 30% от естественных. Распределение эксплуатационных ресурсов по основным водоносным горизонтам приведено в табл.2. Как видно из таблицы, около 45% ресурсов приурочено к четвертичному и 25% — к сеном-туронскому водоносным комплексам. Очень незначительными ресурсами, измеряемыми несколькими кубическими метрами в секунду, характеризуются сеноманский, верхнепермский, кемброордовикский и кембро-вендский горизонты и комплексы.</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Модули эксплуатационных ресурсов по Балтийско-Польскому бассейну колеблются от 0,1 до 3 — 5 л/с на 1 км, в среднем по бассейну модуль составляет 1,5 л/с на 1 км. Наиболее водообильные участки, где модули достигают 2 — 5 л/с на 1 км, расположены на севере бассейна, на площади развития ордовикских, силурийских и среднедевонских отложений, в центральной части бассейна, где основные водоносные горизонты приурочены к четвертичным отложениям и неогеновым, палеогеновым и меловым породам. Участки с высоким значением модуля эксплуатационных ресурсов выделяются также на юге бассейна, где развиты мергельно-меловые породы. Участки, наименее обеспеченные подземными водами, расположены по берегам Финского и Рижского заливов, а также в западных частях Литвы и Латвии и на юге Украины (южная окраина бассейна).</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Современный водоотбор на территории бассейна равен 25 — 30 м/с, что составляет около 6% от эксплуатационных. ресурсов. Наиболее интенсивно эксплуатируются водоносные горизонты четвертичных, меловых, швентойско-тартусских и ордовикских отложений.</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Подземные воды широко используются для хозяйственно-питьевого водоснабжения городского и сельского населения. Водоснабжение мелких и средних городов почти повсеместно базируется на подземных водах, в балансе водопотребления таких крупных городов, как Рига, Калининград, </w:t>
      </w:r>
      <w:r w:rsidR="00427478" w:rsidRPr="00427478">
        <w:rPr>
          <w:sz w:val="28"/>
          <w:szCs w:val="28"/>
        </w:rPr>
        <w:t>Талин</w:t>
      </w:r>
      <w:r w:rsidR="00427478">
        <w:rPr>
          <w:sz w:val="28"/>
          <w:szCs w:val="28"/>
        </w:rPr>
        <w:t>,</w:t>
      </w:r>
      <w:r w:rsidRPr="00427478">
        <w:rPr>
          <w:sz w:val="28"/>
          <w:szCs w:val="28"/>
        </w:rPr>
        <w:t xml:space="preserve"> подземные воды составляют около 40 — 50.%.</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Перспективная потребность большей части городов, расположенных на территории бассейна, может быть удовлетворена за счет подземных вод, за исключением нескольких городов, расположенных в северной части бассейна (Таллин, Клайпеда, Шауляй, Калининград и др.), где подземные воды могут обеспечить только 30 — 60% потребности.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По Балтийско-Польскому бассейну ГКЗ и ТКЗ утверждено около 35 мз/с подземных вод, что составляет около 8% от эксплуатационных ресурсов. Более половины утвержденных запасов относится к четвертичному водоносному горизонту (см. табл. 2).</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Ниже дается краткая характеристика основных водоносных горизонтов и комплексов Балтийско-Польского бассейна, для которых проведена оценка эксплуатационных ресурсов подземных вод.</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Четвертичный водоoc</w:t>
      </w:r>
      <w:r w:rsidR="00427478">
        <w:rPr>
          <w:sz w:val="28"/>
          <w:szCs w:val="28"/>
        </w:rPr>
        <w:t>н</w:t>
      </w:r>
      <w:r w:rsidRPr="00427478">
        <w:rPr>
          <w:sz w:val="28"/>
          <w:szCs w:val="28"/>
        </w:rPr>
        <w:t>ый комплекс выделяется в качестве основного в центральной части Балтийско-Польского бассейна. На юге Белоруссии эксплуатационные ресурсы четвертичного комплекса оцениваются вместе с ресурсами неогеновых, палеогеновых и меловых отложений. На большей площади четвертичные отложения представлены водно-ледниковыми образованиями. В северной части бассейна практическое значение для водоснабжения имеют ресурсы подземных вод аллювиальных и водно-ледниковых отложений, выполняющих переуглубленные участки речных долин (Даугава, Лиелупе, Гауя, Нярис и др).</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Водовмещающие породы четвертичного комплекса представлены песчано-гравийно-галечниковыми отложениями. В ледниковых отложениях, как правило, содержится несколько водоносных</w:t>
      </w:r>
      <w:r w:rsidR="00427478">
        <w:rPr>
          <w:sz w:val="28"/>
          <w:szCs w:val="28"/>
        </w:rPr>
        <w:t xml:space="preserve"> </w:t>
      </w:r>
      <w:r w:rsidRPr="00427478">
        <w:rPr>
          <w:sz w:val="28"/>
          <w:szCs w:val="28"/>
        </w:rPr>
        <w:t xml:space="preserve">горизонтов, мощность которых изменяется в широких пределах — от нескольких метров до 10 — 20, реже 30 — </w:t>
      </w:r>
      <w:smartTag w:uri="urn:schemas-microsoft-com:office:smarttags" w:element="metricconverter">
        <w:smartTagPr>
          <w:attr w:name="ProductID" w:val="40 м"/>
        </w:smartTagPr>
        <w:r w:rsidRPr="00427478">
          <w:rPr>
            <w:sz w:val="28"/>
            <w:szCs w:val="28"/>
          </w:rPr>
          <w:t>40 м</w:t>
        </w:r>
      </w:smartTag>
      <w:r w:rsidRPr="00427478">
        <w:rPr>
          <w:sz w:val="28"/>
          <w:szCs w:val="28"/>
        </w:rPr>
        <w:t xml:space="preserve">. В переуглубленных долинах мощность водовмещающих пород колеблется также от нескольких метров до 50- </w:t>
      </w:r>
      <w:smartTag w:uri="urn:schemas-microsoft-com:office:smarttags" w:element="metricconverter">
        <w:smartTagPr>
          <w:attr w:name="ProductID" w:val="100 м"/>
        </w:smartTagPr>
        <w:r w:rsidRPr="00427478">
          <w:rPr>
            <w:sz w:val="28"/>
            <w:szCs w:val="28"/>
          </w:rPr>
          <w:t>100 м</w:t>
        </w:r>
      </w:smartTag>
      <w:r w:rsidRPr="00427478">
        <w:rPr>
          <w:sz w:val="28"/>
          <w:szCs w:val="28"/>
        </w:rPr>
        <w:t>, а в наиболее крупных переуглубленных долинах до 150 м, и более.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Четвертичные отложения характеризуются крайне неоднородными фильтрационными свойствами; водопроницаемость на небольших расстояниях может изменяться от нескольких метров в сутки до 50- 60 м/сут, а </w:t>
      </w:r>
      <w:r w:rsidR="00427478">
        <w:rPr>
          <w:sz w:val="28"/>
          <w:szCs w:val="28"/>
        </w:rPr>
        <w:t>-</w:t>
      </w:r>
      <w:r w:rsidRPr="00427478">
        <w:rPr>
          <w:sz w:val="28"/>
          <w:szCs w:val="28"/>
        </w:rPr>
        <w:t>коэффициент водопроводимости от нескольких десятков метров в сутки до 200 — 400 м</w:t>
      </w:r>
      <w:r w:rsidR="00427478">
        <w:rPr>
          <w:sz w:val="28"/>
          <w:szCs w:val="28"/>
        </w:rPr>
        <w:t>/с</w:t>
      </w:r>
      <w:r w:rsidRPr="00427478">
        <w:rPr>
          <w:sz w:val="28"/>
          <w:szCs w:val="28"/>
        </w:rPr>
        <w:t>ут. Соответственно и возможные дебиты групповых водозаборов в четвертичных горизонтах изменяются в широких пределах — от нескольких десятков,</w:t>
      </w:r>
      <w:r w:rsidR="00427478">
        <w:rPr>
          <w:sz w:val="28"/>
          <w:szCs w:val="28"/>
        </w:rPr>
        <w:t xml:space="preserve"> </w:t>
      </w:r>
      <w:r w:rsidRPr="00427478">
        <w:rPr>
          <w:sz w:val="28"/>
          <w:szCs w:val="28"/>
        </w:rPr>
        <w:t>метров в секунду до 0,2- 0,5 м/с, на отдельных участках производительность групповых водозаборов может достигать 1 м/с и более.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Естественные ресурсы четвертичного водоносного комплекса достигают 350 м/с, а средний модуль подземного стока составляет 4 л/с на 1 км. Высокие значения модулей подземного стока объясняются значительной величиной осадков и благоприятными условиями питания подземных вод.</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Эксплуатационные ресурсы подземных вод четвертичных отложений достигают 190, м/с, при этом около половины приходится на восполняемые ресурсы.</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Подземные воды четвертичных отложений широко используются для водоснабжения. Наиболее крупные водозаборы приурочены </w:t>
      </w:r>
      <w:r w:rsidRPr="00427478">
        <w:rPr>
          <w:iCs/>
          <w:sz w:val="28"/>
          <w:szCs w:val="28"/>
        </w:rPr>
        <w:t xml:space="preserve">к </w:t>
      </w:r>
      <w:r w:rsidRPr="00427478">
        <w:rPr>
          <w:sz w:val="28"/>
          <w:szCs w:val="28"/>
        </w:rPr>
        <w:t>переуглубленным долинам, где имеется постоянный источник восполнения запасов, большая мощность и высокие фильтрационные свойства пород. Достаточно отметить, что в водохозяйственным балансе Латвийской ССР 60 — 90/0 потребности городов в хозяйственно-питьевой воде обеспечивается за счет ресурсов подземных вод речных долин. Дебиты инфильтрационных водозаборов составляют от 0,1 до 2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Перспективны и в</w:t>
      </w:r>
      <w:r w:rsidR="00427478">
        <w:rPr>
          <w:sz w:val="28"/>
          <w:szCs w:val="28"/>
        </w:rPr>
        <w:t xml:space="preserve"> </w:t>
      </w:r>
      <w:r w:rsidRPr="00427478">
        <w:rPr>
          <w:sz w:val="28"/>
          <w:szCs w:val="28"/>
        </w:rPr>
        <w:t xml:space="preserve">настоящее время частично используются воды древнеаллювиальных образований, слагающих террасы р. Даугавы у г. Даугавпилса, аллювиальные отложения р. Гауи для водоснабжения г. Риги, погребенные долины в районе городов </w:t>
      </w:r>
      <w:r w:rsidR="00427478" w:rsidRPr="00427478">
        <w:rPr>
          <w:sz w:val="28"/>
          <w:szCs w:val="28"/>
        </w:rPr>
        <w:t>Талина</w:t>
      </w:r>
      <w:r w:rsidRPr="00427478">
        <w:rPr>
          <w:sz w:val="28"/>
          <w:szCs w:val="28"/>
        </w:rPr>
        <w:t xml:space="preserve">, Кохтла-Ярве и Тарту. В Литовской ССР большие погребенные долины с мощностью водовмещающих отложений около 50 — </w:t>
      </w:r>
      <w:smartTag w:uri="urn:schemas-microsoft-com:office:smarttags" w:element="metricconverter">
        <w:smartTagPr>
          <w:attr w:name="ProductID" w:val="30 м"/>
        </w:smartTagPr>
        <w:r w:rsidRPr="00427478">
          <w:rPr>
            <w:sz w:val="28"/>
            <w:szCs w:val="28"/>
          </w:rPr>
          <w:t>100 м</w:t>
        </w:r>
      </w:smartTag>
      <w:r w:rsidRPr="00427478">
        <w:rPr>
          <w:sz w:val="28"/>
          <w:szCs w:val="28"/>
        </w:rPr>
        <w:t xml:space="preserve"> вскрыты в среднем течении р. Нямунас, в районах городов Друскининкай и Бирштонас. На эксплуатации подземных вод древней аллювиальной долины основано водоснабжение г. Вильнюса, где суммарные эксплуатационные запасы по эксплуатирующим их водозаборам составляют около 1,5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Межморенные водоносные горизонты широко используются для водоснабжения на территории Литовской ССР</w:t>
      </w:r>
      <w:r w:rsidR="00427478">
        <w:rPr>
          <w:sz w:val="28"/>
          <w:szCs w:val="28"/>
        </w:rPr>
        <w:t xml:space="preserve"> </w:t>
      </w:r>
      <w:r w:rsidRPr="00427478">
        <w:rPr>
          <w:sz w:val="28"/>
          <w:szCs w:val="28"/>
        </w:rPr>
        <w:t xml:space="preserve">и Калининградской области, где производительность существующих </w:t>
      </w:r>
      <w:r w:rsidR="00427478">
        <w:rPr>
          <w:sz w:val="28"/>
          <w:szCs w:val="28"/>
        </w:rPr>
        <w:t xml:space="preserve">- </w:t>
      </w:r>
      <w:r w:rsidRPr="00427478">
        <w:rPr>
          <w:sz w:val="28"/>
          <w:szCs w:val="28"/>
        </w:rPr>
        <w:t>водозаборов находится Б пределах 0,1 — 0,3 м/с. В южной части Балтийско-Польского бассейна — в Брестской и Гомельской областях — на эксплуатации межморенных горизонтов основывается частично или полностью не только сельскохозяйственное, но и централизованное водоснабжение крупных населенных пунктов. Дебиты водозаборов не превышают в большинстве случаев 0,1 — 0,2 м/с, однако возможно строительство водозаборов с дебитом до 1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На территории Украины практическое значение для централизованного крупного водоснабжения имеют ресурсы подземных вод в четвертичных отложениях при условии их совместной эксплуатации с залегающими ниже водоносными горизонтами.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Таким образом, на территории Балтийско-Польского артезианского бассейна в четвертичном водоносном комплексе формируются два основных типа месторождений подземных вод — речных долин и флювиогляциальных отложений. Основными источниками формирования эксплуатационных ресурсов этого комплекса являются привлекаемые ресурсы</w:t>
      </w:r>
      <w:r w:rsidR="00427478">
        <w:rPr>
          <w:sz w:val="28"/>
          <w:szCs w:val="28"/>
        </w:rPr>
        <w:t xml:space="preserve"> </w:t>
      </w:r>
      <w:r w:rsidRPr="00427478">
        <w:rPr>
          <w:sz w:val="28"/>
          <w:szCs w:val="28"/>
        </w:rPr>
        <w:t>(поверхностный сток и перетекание из вышележащих неэксплуатируемых водоносных горизонтов). Несколько меньшую роль играют естественные ресурсы. 'В переуглубленных речных долинах существенное значение может иметь сработка естественных запасов подземных вод. На ряде водозаборов, использующих подземные воды четвертичных отложений, одним из основных,</w:t>
      </w:r>
      <w:r w:rsidR="00427478">
        <w:rPr>
          <w:sz w:val="28"/>
          <w:szCs w:val="28"/>
        </w:rPr>
        <w:t xml:space="preserve"> </w:t>
      </w:r>
      <w:r w:rsidRPr="00427478">
        <w:rPr>
          <w:sz w:val="28"/>
          <w:szCs w:val="28"/>
        </w:rPr>
        <w:t>источников формирования эксплуатационных ресурсов являются искусственные ресурсы, которые образуются благодаря проведению специальных инженерных мероприятий по искусственному восполнению ресурсов подземных вод (водозаборы Балтэзерс, Эйгуляй).</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Водоносный комплекс отложений верхнего мела.</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Основным водоносным горизонтом в отложениях верхнего мела является сенон-туронский, развитый в южной и юго-восточной частях Белоруссии и на всей территории Украины, за исключением ее южных окраин. Водовмещающими породами служат трещиноватые мелы и мергели с относительно редкими прослоями глин. Мощность во1дообильной зоны, соответствующей глубине развития трещиноватости, </w:t>
      </w:r>
      <w:r w:rsidR="00427478">
        <w:rPr>
          <w:sz w:val="28"/>
          <w:szCs w:val="28"/>
        </w:rPr>
        <w:t>п</w:t>
      </w:r>
      <w:r w:rsidRPr="00427478">
        <w:rPr>
          <w:sz w:val="28"/>
          <w:szCs w:val="28"/>
        </w:rPr>
        <w:t xml:space="preserve">о площади неравномерна, в пределах Брестского артезианского бассейна она достигает 80 — </w:t>
      </w:r>
      <w:smartTag w:uri="urn:schemas-microsoft-com:office:smarttags" w:element="metricconverter">
        <w:smartTagPr>
          <w:attr w:name="ProductID" w:val="30 м"/>
        </w:smartTagPr>
        <w:r w:rsidRPr="00427478">
          <w:rPr>
            <w:sz w:val="28"/>
            <w:szCs w:val="28"/>
          </w:rPr>
          <w:t>100 м</w:t>
        </w:r>
      </w:smartTag>
      <w:r w:rsidRPr="00427478">
        <w:rPr>
          <w:sz w:val="28"/>
          <w:szCs w:val="28"/>
        </w:rPr>
        <w:t xml:space="preserve">, а на окраинах бассейна редко превышает 20 — </w:t>
      </w:r>
      <w:smartTag w:uri="urn:schemas-microsoft-com:office:smarttags" w:element="metricconverter">
        <w:smartTagPr>
          <w:attr w:name="ProductID" w:val="30 м"/>
        </w:smartTagPr>
        <w:r w:rsidRPr="00427478">
          <w:rPr>
            <w:sz w:val="28"/>
            <w:szCs w:val="28"/>
          </w:rPr>
          <w:t>25 м</w:t>
        </w:r>
      </w:smartTag>
      <w:r w:rsidRPr="00427478">
        <w:rPr>
          <w:sz w:val="28"/>
          <w:szCs w:val="28"/>
        </w:rPr>
        <w:t>. Воды на большей части территории напорные, причем обычно напоры,</w:t>
      </w:r>
      <w:r w:rsidR="00427478">
        <w:rPr>
          <w:sz w:val="28"/>
          <w:szCs w:val="28"/>
        </w:rPr>
        <w:t xml:space="preserve"> </w:t>
      </w:r>
      <w:r w:rsidRPr="00427478">
        <w:rPr>
          <w:sz w:val="28"/>
          <w:szCs w:val="28"/>
        </w:rPr>
        <w:t>не превышают 40,м.</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В кровле трещиноватая зона заилена на большей части территории. Мощность зоны заиления на водоразделах 5 — </w:t>
      </w:r>
      <w:smartTag w:uri="urn:schemas-microsoft-com:office:smarttags" w:element="metricconverter">
        <w:smartTagPr>
          <w:attr w:name="ProductID" w:val="30 м"/>
        </w:smartTagPr>
        <w:r w:rsidRPr="00427478">
          <w:rPr>
            <w:sz w:val="28"/>
            <w:szCs w:val="28"/>
          </w:rPr>
          <w:t>10 м</w:t>
        </w:r>
      </w:smartTag>
      <w:r w:rsidRPr="00427478">
        <w:rPr>
          <w:sz w:val="28"/>
          <w:szCs w:val="28"/>
        </w:rPr>
        <w:t>, в долинах рек довольно часто эта зона отсутствует и здесь,</w:t>
      </w:r>
      <w:r w:rsidR="00427478">
        <w:rPr>
          <w:sz w:val="28"/>
          <w:szCs w:val="28"/>
        </w:rPr>
        <w:t xml:space="preserve"> </w:t>
      </w:r>
      <w:r w:rsidRPr="00427478">
        <w:rPr>
          <w:sz w:val="28"/>
          <w:szCs w:val="28"/>
        </w:rPr>
        <w:t>наиболее благоприятные условия взаимосвязи с подземными водами четвертичных отложений, а через них и с поверхностными водами.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Водообильность мергельно-меловых отложений изменяется в широком диапазоне, что обусловливается различной степенью трещиноватости и закарстова</w:t>
      </w:r>
      <w:r w:rsidR="00427478">
        <w:rPr>
          <w:sz w:val="28"/>
          <w:szCs w:val="28"/>
        </w:rPr>
        <w:t>н</w:t>
      </w:r>
      <w:r w:rsidRPr="00427478">
        <w:rPr>
          <w:sz w:val="28"/>
          <w:szCs w:val="28"/>
        </w:rPr>
        <w:t>ности водовмещающих пород. На водоразделах удельные дебиты скважин редко превышают 0,2 — 0,3 л/с, в долинах рек и в балках, т. е. в местах развития максимальной трещиноватости как по открытости,, так и по глубине, удельные дебиты повышаются до 2 — 8 л/с и как аномальные значения встречаются удельные дебиты, равные 20 — 30 л/с.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Благодаря хорошему качеству и высокой водообильности мергельно- меловая толща является основным источником водоснабжения всей южной части Балтийско-Польского артезианского бассейна: Производительность водозаборов обычно 0,1—2 м/с, эта величина не является предельной.</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Эксплуатационные ресурсы подземных вод Волыно-Подольского артезианского бассейна, приуроченные к сенон-туронскому водоносному комплексу и взаимосвязанному с ним на большей части территории водоносному комплексу четвертичных отложений, настолько велики и настолько превышают перспективную потребность этого района в воде, что стоит вопрос о рациональности переброски воды из Волыно-Подольского артезианского бассейна в соседние области Украинского кристаллического массива и некоторые районы Предкарпатья.</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Как отмечено выше, наиболее крупные месторождения в сенонтуронском комплексе формируются в речных долинах, где мергельно-меловая толща залегает непосредственно под аллювиальными песками. Здесь основными источниками формирования эксплуатационных ресурсов подземных вод в меженный</w:t>
      </w:r>
      <w:r w:rsidR="00427478">
        <w:rPr>
          <w:sz w:val="28"/>
          <w:szCs w:val="28"/>
        </w:rPr>
        <w:t xml:space="preserve"> </w:t>
      </w:r>
      <w:r w:rsidRPr="00427478">
        <w:rPr>
          <w:sz w:val="28"/>
          <w:szCs w:val="28"/>
        </w:rPr>
        <w:t>период является сработка естественных запасов подземных вод аллювиальных отложений, восполнение которых происходит во время паводков. В западной части бассейна (главным образом на территории Львовской области) формируются своеобразные месторождения в верховьях небольших ручьев и балок. Эти месторождения относятся к типу ограниченных структур, в которых основными источниками формирования эксплуатационных ресурсов служат естественные ресурсы подземных вод, разгрузка которых в ненарушенных условиях происходит путем родникового стока, в речную сеть и путем,</w:t>
      </w:r>
      <w:r w:rsidR="00427478">
        <w:rPr>
          <w:sz w:val="28"/>
          <w:szCs w:val="28"/>
        </w:rPr>
        <w:t xml:space="preserve"> </w:t>
      </w:r>
      <w:r w:rsidRPr="00427478">
        <w:rPr>
          <w:sz w:val="28"/>
          <w:szCs w:val="28"/>
        </w:rPr>
        <w:t xml:space="preserve">испарения. Как показывает опыт эксплуатации этих структур, не следует ориентироваться в рассматриваемых условиях на сработку естественных запасов в качестве дополнительного источника формирования эксплуатационных ресурсов. Небольшое превышение водоотбора над естественными ресурсами приводит здесь </w:t>
      </w:r>
      <w:r w:rsidRPr="00427478">
        <w:rPr>
          <w:iCs/>
          <w:sz w:val="28"/>
          <w:szCs w:val="28"/>
        </w:rPr>
        <w:t xml:space="preserve">к </w:t>
      </w:r>
      <w:r w:rsidRPr="00427478">
        <w:rPr>
          <w:sz w:val="28"/>
          <w:szCs w:val="28"/>
        </w:rPr>
        <w:t>резкому падению уровней подземных вод.</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Кроме описанного сенон-туронского водоносного горизонта, в западных частях Брестской и Гродненской областей развит сеноманский водоносный горизонт. Водоносные пески и слабоцемен</w:t>
      </w:r>
      <w:r w:rsidR="00427478">
        <w:rPr>
          <w:sz w:val="28"/>
          <w:szCs w:val="28"/>
        </w:rPr>
        <w:t>т</w:t>
      </w:r>
      <w:r w:rsidRPr="00427478">
        <w:rPr>
          <w:sz w:val="28"/>
          <w:szCs w:val="28"/>
        </w:rPr>
        <w:t xml:space="preserve">ированные песчаники этого горизонта имеют мощность 20 — </w:t>
      </w:r>
      <w:smartTag w:uri="urn:schemas-microsoft-com:office:smarttags" w:element="metricconverter">
        <w:smartTagPr>
          <w:attr w:name="ProductID" w:val="30 м"/>
        </w:smartTagPr>
        <w:r w:rsidRPr="00427478">
          <w:rPr>
            <w:sz w:val="28"/>
            <w:szCs w:val="28"/>
          </w:rPr>
          <w:t>25 м</w:t>
        </w:r>
      </w:smartTag>
      <w:r w:rsidRPr="00427478">
        <w:rPr>
          <w:sz w:val="28"/>
          <w:szCs w:val="28"/>
        </w:rPr>
        <w:t xml:space="preserve"> и при отсутствии в подошве водоупора взаимосвязаны с водами древнепалеозойских, девонских и юрских отложений. Эксплуатационные ресурсы этого водоносного горизонта составляют около 3 — 4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На этой же территории распространен водоносный гори</w:t>
      </w:r>
      <w:r w:rsidRPr="00427478">
        <w:rPr>
          <w:iCs/>
          <w:sz w:val="28"/>
          <w:szCs w:val="28"/>
        </w:rPr>
        <w:t>зо</w:t>
      </w:r>
      <w:r w:rsidRPr="00427478">
        <w:rPr>
          <w:sz w:val="28"/>
          <w:szCs w:val="28"/>
        </w:rPr>
        <w:t>нт юрских кавернозных и трещиноватых известняков и мергелей, имеющих ограниченное распространение. Эксплуатируется водоносный юрский горизонт совместно с перекрывающими его меловыми горизонтами.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Водоотбор</w:t>
      </w:r>
      <w:r w:rsidR="001019E5">
        <w:rPr>
          <w:sz w:val="28"/>
          <w:szCs w:val="28"/>
        </w:rPr>
        <w:t xml:space="preserve"> </w:t>
      </w:r>
      <w:r w:rsidRPr="00427478">
        <w:rPr>
          <w:sz w:val="28"/>
          <w:szCs w:val="28"/>
        </w:rPr>
        <w:t xml:space="preserve">в г. Бресте,из водовмещающей мергельно-меловой толщи, сеноманских песков и юрских трещиноватых известняков и мергелей на двух водозаборных участках составлял 0,2 м/с при работе 11 скважин. Однако эта величина водоотбора не характеризует потенциальных возможностей водоносных комплексов. При заложении скважин в радиусе 5 — </w:t>
      </w:r>
      <w:smartTag w:uri="urn:schemas-microsoft-com:office:smarttags" w:element="metricconverter">
        <w:smartTagPr>
          <w:attr w:name="ProductID" w:val="30 м"/>
        </w:smartTagPr>
        <w:r w:rsidRPr="00427478">
          <w:rPr>
            <w:sz w:val="28"/>
            <w:szCs w:val="28"/>
          </w:rPr>
          <w:t>8 км</w:t>
        </w:r>
      </w:smartTag>
      <w:r w:rsidRPr="00427478">
        <w:rPr>
          <w:sz w:val="28"/>
          <w:szCs w:val="28"/>
        </w:rPr>
        <w:t xml:space="preserve"> от г. Бреста общий суммарный водоотбор из верхне-среднеюрокого и сеноманского водоносных горизонтов может быть увеличен до 1,5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Каменноугольно-фаменский водоносный комплекс приурочен к мелкозернистым слабоцементированным песчаникам и маломощным прослоям </w:t>
      </w:r>
      <w:r w:rsidR="001019E5" w:rsidRPr="00427478">
        <w:rPr>
          <w:sz w:val="28"/>
          <w:szCs w:val="28"/>
        </w:rPr>
        <w:t>известн</w:t>
      </w:r>
      <w:r w:rsidR="001019E5">
        <w:rPr>
          <w:sz w:val="28"/>
          <w:szCs w:val="28"/>
        </w:rPr>
        <w:t>я</w:t>
      </w:r>
      <w:r w:rsidR="001019E5" w:rsidRPr="00427478">
        <w:rPr>
          <w:sz w:val="28"/>
          <w:szCs w:val="28"/>
        </w:rPr>
        <w:t>ков</w:t>
      </w:r>
      <w:r w:rsidRPr="00427478">
        <w:rPr>
          <w:sz w:val="28"/>
          <w:szCs w:val="28"/>
        </w:rPr>
        <w:t xml:space="preserve"> нижнекаменноугольного возраста, песчаников, доломитизированным мергелям и алевролитам фаменского яруса верхнего девона. Воды комплекса повсеместно напорные. Полная мощность отложений нижнего карбона достигает </w:t>
      </w:r>
      <w:smartTag w:uri="urn:schemas-microsoft-com:office:smarttags" w:element="metricconverter">
        <w:smartTagPr>
          <w:attr w:name="ProductID" w:val="30 м"/>
        </w:smartTagPr>
        <w:r w:rsidRPr="00427478">
          <w:rPr>
            <w:sz w:val="28"/>
            <w:szCs w:val="28"/>
          </w:rPr>
          <w:t>140 м</w:t>
        </w:r>
      </w:smartTag>
      <w:r w:rsidRPr="00427478">
        <w:rPr>
          <w:sz w:val="28"/>
          <w:szCs w:val="28"/>
        </w:rPr>
        <w:t xml:space="preserve">; мощность отложений фаменского яруса изменяется от 70 до </w:t>
      </w:r>
      <w:smartTag w:uri="urn:schemas-microsoft-com:office:smarttags" w:element="metricconverter">
        <w:smartTagPr>
          <w:attr w:name="ProductID" w:val="30 м"/>
        </w:smartTagPr>
        <w:r w:rsidRPr="00427478">
          <w:rPr>
            <w:sz w:val="28"/>
            <w:szCs w:val="28"/>
          </w:rPr>
          <w:t>115 м</w:t>
        </w:r>
      </w:smartTag>
      <w:r w:rsidRPr="00427478">
        <w:rPr>
          <w:sz w:val="28"/>
          <w:szCs w:val="28"/>
        </w:rPr>
        <w:t>. Водовмещающая трещиноватая часть отложений весьма изменчива по простиранию и составляет от 50 до 70 — 80% общей мощности отложений. Региональная изменчивость отложений обусловливает</w:t>
      </w:r>
      <w:r w:rsidR="001019E5">
        <w:rPr>
          <w:sz w:val="28"/>
          <w:szCs w:val="28"/>
        </w:rPr>
        <w:t xml:space="preserve"> </w:t>
      </w:r>
      <w:r w:rsidRPr="00427478">
        <w:rPr>
          <w:sz w:val="28"/>
          <w:szCs w:val="28"/>
        </w:rPr>
        <w:t>и резкие колебания фильтрационных свойств. В результате этого коэффициенты водопроводимости изменяются от 150 до 800 м2/сут, преобладающие значения находятся в интервале 300 — 550 м2/сут. Максимальные значения водопроводимости получены для района г. Добеле и севернее него,</w:t>
      </w:r>
      <w:r w:rsidR="001019E5">
        <w:rPr>
          <w:sz w:val="28"/>
          <w:szCs w:val="28"/>
        </w:rPr>
        <w:t xml:space="preserve"> </w:t>
      </w:r>
      <w:r w:rsidRPr="00427478">
        <w:rPr>
          <w:sz w:val="28"/>
          <w:szCs w:val="28"/>
        </w:rPr>
        <w:t>где используется нижняя часть комплекса — лебедяно-елецкий водоносный горизонт, залегающий непосредственно под четвертичными отложениями.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Областью разгрузки водоносного комплекса служит Балтийское море. В г. Лиепая в результате усиленной эксплуатации направление потока изменилось и началось подтягивание морских вод. Обычно воды комплекса имеют гидрокарбонатный состав и</w:t>
      </w:r>
      <w:r w:rsidR="001019E5">
        <w:rPr>
          <w:sz w:val="28"/>
          <w:szCs w:val="28"/>
        </w:rPr>
        <w:t xml:space="preserve"> </w:t>
      </w:r>
      <w:r w:rsidRPr="00427478">
        <w:rPr>
          <w:sz w:val="28"/>
          <w:szCs w:val="28"/>
        </w:rPr>
        <w:t>минерализацию до 1 г/л, в пределах же г. Лиепая состав вод изменился на хлоридный и увеличилась минерализация до 3 — 4 г/л.</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Наиболее благоприятные условия для эксплуатации каменноугольно-фаменский</w:t>
      </w:r>
      <w:r w:rsidR="001019E5">
        <w:rPr>
          <w:sz w:val="28"/>
          <w:szCs w:val="28"/>
        </w:rPr>
        <w:t xml:space="preserve"> </w:t>
      </w:r>
      <w:r w:rsidRPr="00427478">
        <w:rPr>
          <w:sz w:val="28"/>
          <w:szCs w:val="28"/>
        </w:rPr>
        <w:t>водоносный комплекс имеет в Местах выхода непосредственно под</w:t>
      </w:r>
      <w:r w:rsidR="001019E5">
        <w:rPr>
          <w:sz w:val="28"/>
          <w:szCs w:val="28"/>
        </w:rPr>
        <w:t xml:space="preserve"> </w:t>
      </w:r>
      <w:r w:rsidRPr="00427478">
        <w:rPr>
          <w:sz w:val="28"/>
          <w:szCs w:val="28"/>
        </w:rPr>
        <w:t xml:space="preserve">водосодержащие четвертичные отложения. На базе этого комплекса основано сельскохозяйственное водоснабжение ряда районов и водоснабжение некоторых городов Латвии (г. Айзлуте и др.). Бурегско-саргаевский водоносный комплекс девон а развит в центральной и восточной частях Латвийского артезианского бассейна. Комплекс представлен трещиноватыми и кавернозными известняками и доломитами суммарной мощностью 50 — </w:t>
      </w:r>
      <w:smartTag w:uri="urn:schemas-microsoft-com:office:smarttags" w:element="metricconverter">
        <w:smartTagPr>
          <w:attr w:name="ProductID" w:val="30 м"/>
        </w:smartTagPr>
        <w:r w:rsidRPr="00427478">
          <w:rPr>
            <w:sz w:val="28"/>
            <w:szCs w:val="28"/>
          </w:rPr>
          <w:t>80 м</w:t>
        </w:r>
      </w:smartTag>
      <w:r w:rsidRPr="00427478">
        <w:rPr>
          <w:sz w:val="28"/>
          <w:szCs w:val="28"/>
        </w:rPr>
        <w:t>, В краевых частях территории развития комплекса из-за наличия в его разрезе глинисто-мергелистых образований водосодержащая толща характеризуется величинами коэффициента водопроводимоспи, равными 100 — 400 м/сут, наибольшую водопроводимость имеют закарстованные карбонатные отложения в восточной части, где оно достигает 600—1600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Воды бурегско-саргаевского водоносного комплекса обычно хорошего качества, с общей минерализацией 0,3 — 0,8 г/л, иногда отмечаются повышенные жесткость (до 11 мг-экв) и содержание железа.</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Наибольший водоотбор для данного водоносного комплекса составляет около 50 — 70 л/с (г. Резекне), возможные дебиты водозаборов достигают 500 л/с и более.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Современный водоотбор из комплекса в пределах площади его развития, осуществляемый небольшим числом одиночных скважин, не превышает 1% общих эксплуатационных ресурсов.</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Швентойско-тартусский водоносный комплекс распространен в пределах всей территории Латвии, на большей части Литвы и в северной части Эстонии. Водовмещающие породы представлены мелкозернистыми песками и слабосцементированными песчаниками, которые переслаиваются с пестроцветными глинами. Мощность отложений комплекса в районе Белорусско-Мазурского выступа кристаллического фундамента, где он залегает непосредственно под четвертичными отложениями, составляет около 120 — 130м, при погружении пород мощность увеличивается до </w:t>
      </w:r>
      <w:smartTag w:uri="urn:schemas-microsoft-com:office:smarttags" w:element="metricconverter">
        <w:smartTagPr>
          <w:attr w:name="ProductID" w:val="30 м"/>
        </w:smartTagPr>
        <w:r w:rsidRPr="00427478">
          <w:rPr>
            <w:sz w:val="28"/>
            <w:szCs w:val="28"/>
          </w:rPr>
          <w:t>240 м</w:t>
        </w:r>
      </w:smartTag>
      <w:r w:rsidRPr="00427478">
        <w:rPr>
          <w:sz w:val="28"/>
          <w:szCs w:val="28"/>
        </w:rPr>
        <w:t>. Горизонт напорный.</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Водопроводимость швентойско-тартусского водоносного комплекса изменяется по площади от 100 до 1000 м/сут и несколько более, при среднем значении по площади около </w:t>
      </w:r>
      <w:smartTag w:uri="urn:schemas-microsoft-com:office:smarttags" w:element="metricconverter">
        <w:smartTagPr>
          <w:attr w:name="ProductID" w:val="30 м"/>
        </w:smartTagPr>
        <w:r w:rsidRPr="00427478">
          <w:rPr>
            <w:sz w:val="28"/>
            <w:szCs w:val="28"/>
          </w:rPr>
          <w:t>250 м</w:t>
        </w:r>
      </w:smartTag>
      <w:r w:rsidRPr="00427478">
        <w:rPr>
          <w:sz w:val="28"/>
          <w:szCs w:val="28"/>
        </w:rPr>
        <w:t>'/сут. Наиболее высокими значениями коэффициента водопроводимости характеризуются области неглубокого залегания .комплекса на возвышенных частях территории.. Так, в пределах Курземской и Балтийской возвышенностей среднее значение коэффициента водопроводимости достигает 150 м/сут, а к Рижскому заливу его значение увеличивается до 600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 наиболее опущенной части Польско-Литовского артезианского бассейна швентойско-тартусский водоносный комплекс</w:t>
      </w:r>
      <w:r w:rsidR="001019E5">
        <w:rPr>
          <w:sz w:val="28"/>
          <w:szCs w:val="28"/>
        </w:rPr>
        <w:t xml:space="preserve"> </w:t>
      </w:r>
      <w:r w:rsidRPr="00427478">
        <w:rPr>
          <w:sz w:val="28"/>
          <w:szCs w:val="28"/>
        </w:rPr>
        <w:t>содержит воды повышенной минерализации. На большей же части территории воды пресные, с минерализацией, не превышающей 1 г/л. При использовании для питьевых целей в ряде случаев требуется обезжелезивание.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Естественные ресурсы швентойско-тартусского комплекса составляют около 80 м/с при среднем многолетнем модуле подземного стока около 1 л/с на 1км'. Самые высокие модули подземного стока, достигающие 5 л/с на </w:t>
      </w:r>
      <w:smartTag w:uri="urn:schemas-microsoft-com:office:smarttags" w:element="metricconverter">
        <w:smartTagPr>
          <w:attr w:name="ProductID" w:val="30 м"/>
        </w:smartTagPr>
        <w:r w:rsidRPr="00427478">
          <w:rPr>
            <w:sz w:val="28"/>
            <w:szCs w:val="28"/>
          </w:rPr>
          <w:t>1 км</w:t>
        </w:r>
      </w:smartTag>
      <w:r w:rsidRPr="00427478">
        <w:rPr>
          <w:sz w:val="28"/>
          <w:szCs w:val="28"/>
        </w:rPr>
        <w:t>', отмечаются в бассейне р. Маркис, самые низкие (менее 1 л/с на 1 км2) — в северной части Среднелитовской низменности. Эксплуатационные ресурсы Польско-Литовского бассейна, приуроченные к швентойско-тартусскому водоносному комплексу, составляют около 16 м/с, а в пределах Латвийского артезианского бассейна — 35 м/с.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Современный отбор в Эстонской ССР вод описываемого комплекса равен всего лишь 0,2 м/с, а общий отбор по всей площади его развития, равной 78 тыс. км, не превышает 5 м/с. Судя по опыту эксплуатации, возможная производительность водозабора может достигать 200- 400 л/с. Наиболее крупный действующий водозабор, эксплуатирующий данный комплекс, расположен в г. Риге.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 швентойско-тартусском водоносном комплексе формируются достаточно крупные месторождения подземных вод артезианских бассейнов платформенного типа. Основными источниками формирования эксплуатацией</w:t>
      </w:r>
      <w:r w:rsidR="001019E5">
        <w:rPr>
          <w:sz w:val="28"/>
          <w:szCs w:val="28"/>
        </w:rPr>
        <w:t xml:space="preserve"> </w:t>
      </w:r>
      <w:r w:rsidRPr="00427478">
        <w:rPr>
          <w:sz w:val="28"/>
          <w:szCs w:val="28"/>
        </w:rPr>
        <w:t>ресурсов этих месторождений являются подземные воды вышележащих отложений, переток которых происходит главным образом через</w:t>
      </w:r>
      <w:r w:rsidR="001019E5">
        <w:rPr>
          <w:sz w:val="28"/>
          <w:szCs w:val="28"/>
        </w:rPr>
        <w:t xml:space="preserve"> </w:t>
      </w:r>
      <w:r w:rsidRPr="00427478">
        <w:rPr>
          <w:sz w:val="28"/>
          <w:szCs w:val="28"/>
        </w:rPr>
        <w:t>гидрогеологические окна.</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Швентойско-тартусокий комплекс уже в настоящее время является основным источником пресных вод для большинства крупных городов Латвии, а его ресурсы обеспечивают рост перспективной потребности.</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Пярнусский водоносный горизонт распространен в южной части Эстонии и приурочен к мелко- и среднезернистым слабосцементированным песчаникам и гравелистым алевролитам. Мощность водосодержащей толщи изменяется по площади развития горизонта от 20 до </w:t>
      </w:r>
      <w:smartTag w:uri="urn:schemas-microsoft-com:office:smarttags" w:element="metricconverter">
        <w:smartTagPr>
          <w:attr w:name="ProductID" w:val="30 м"/>
        </w:smartTagPr>
        <w:r w:rsidRPr="00427478">
          <w:rPr>
            <w:sz w:val="28"/>
            <w:szCs w:val="28"/>
          </w:rPr>
          <w:t>40 м</w:t>
        </w:r>
      </w:smartTag>
      <w:r w:rsidRPr="00427478">
        <w:rPr>
          <w:sz w:val="28"/>
          <w:szCs w:val="28"/>
        </w:rPr>
        <w:t>. Горизонт напорный, имеет наибольшую водообильность</w:t>
      </w:r>
      <w:r w:rsidR="001019E5">
        <w:rPr>
          <w:sz w:val="28"/>
          <w:szCs w:val="28"/>
        </w:rPr>
        <w:t xml:space="preserve"> в</w:t>
      </w:r>
      <w:r w:rsidRPr="00427478">
        <w:rPr>
          <w:sz w:val="28"/>
          <w:szCs w:val="28"/>
        </w:rPr>
        <w:t xml:space="preserve"> местах непосредственного залегания под четвертичными отложениями, водопроводимость горизонта изменяется</w:t>
      </w:r>
      <w:r w:rsidR="001019E5">
        <w:rPr>
          <w:sz w:val="28"/>
          <w:szCs w:val="28"/>
        </w:rPr>
        <w:t xml:space="preserve"> </w:t>
      </w:r>
      <w:r w:rsidRPr="00427478">
        <w:rPr>
          <w:sz w:val="28"/>
          <w:szCs w:val="28"/>
        </w:rPr>
        <w:t>в пределах 50 — 100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Для крупного водоснабжения горизонт используется только Тартусоким водозабором совместно с водоносными горизонтами четвертичных и силурийских отложений. Расход водозабора из пярнусско-силурийского горизонта достигает 70 — 80 л/с.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Силурийский водоносный комплекс представлен в разной степени трещиноватыми известняками и доломитами, содержащими наибольшие ресурсы подземных вод в области выхода комплекса под четвертичные отложения в пределах Эстоно-Лифляндского артезианского бассейна. Условия залегания и пестрота патологического состава комплекса предопределили и значительные колебания водопроводимости как по площади, так и в разрезе. Максимальные значения водопровод</w:t>
      </w:r>
      <w:r w:rsidR="001019E5">
        <w:rPr>
          <w:sz w:val="28"/>
          <w:szCs w:val="28"/>
        </w:rPr>
        <w:t>и</w:t>
      </w:r>
      <w:r w:rsidRPr="00427478">
        <w:rPr>
          <w:sz w:val="28"/>
          <w:szCs w:val="28"/>
        </w:rPr>
        <w:t>мости не превышают 500 м/сут, средние значения находятся в диапазоне 150 — 200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Минерализация подземных вод силурийских отложений повышается при приближении к морю до 1,7 г/л.</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Силурийский водоносный комплекс эксплуатируется более чем 2,5 тыс. скважин, однако около 2 тыс. из них имеют глубину менее </w:t>
      </w:r>
      <w:smartTag w:uri="urn:schemas-microsoft-com:office:smarttags" w:element="metricconverter">
        <w:smartTagPr>
          <w:attr w:name="ProductID" w:val="30 м"/>
        </w:smartTagPr>
        <w:r w:rsidRPr="00427478">
          <w:rPr>
            <w:sz w:val="28"/>
            <w:szCs w:val="28"/>
          </w:rPr>
          <w:t>25 м</w:t>
        </w:r>
      </w:smartTag>
      <w:r w:rsidRPr="00427478">
        <w:rPr>
          <w:sz w:val="28"/>
          <w:szCs w:val="28"/>
        </w:rPr>
        <w:t>, т. е. расположены в области выходов горизонта под маломощные четвертичные образования и вскрывают лишь верхнюю часть водоносной толщи. Дебиты одиночных эксплуатационных скважин в среднем составляют 2 — 3 л/с; максимальный водоотбор одиночных скважин достигает 10 — 12 л/с.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Ордовикский водоносный комплекс широко развит в пределах Эстонско-Лифляндского артезианского бассейна и представлен толщей карбонатных отложений.</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Мощность отложений ордовика в северной приморской части Эстонии изменяется вследствие их размыва от 0 до </w:t>
      </w:r>
      <w:smartTag w:uri="urn:schemas-microsoft-com:office:smarttags" w:element="metricconverter">
        <w:smartTagPr>
          <w:attr w:name="ProductID" w:val="30 м"/>
        </w:smartTagPr>
        <w:r w:rsidRPr="00427478">
          <w:rPr>
            <w:sz w:val="28"/>
            <w:szCs w:val="28"/>
          </w:rPr>
          <w:t>50 м</w:t>
        </w:r>
      </w:smartTag>
      <w:r w:rsidRPr="00427478">
        <w:rPr>
          <w:sz w:val="28"/>
          <w:szCs w:val="28"/>
        </w:rPr>
        <w:t xml:space="preserve">, по мере погружения пород к югу мощность увеличивается до </w:t>
      </w:r>
      <w:smartTag w:uri="urn:schemas-microsoft-com:office:smarttags" w:element="metricconverter">
        <w:smartTagPr>
          <w:attr w:name="ProductID" w:val="30 м"/>
        </w:smartTagPr>
        <w:r w:rsidRPr="00427478">
          <w:rPr>
            <w:sz w:val="28"/>
            <w:szCs w:val="28"/>
          </w:rPr>
          <w:t>100 м</w:t>
        </w:r>
      </w:smartTag>
      <w:r w:rsidRPr="00427478">
        <w:rPr>
          <w:sz w:val="28"/>
          <w:szCs w:val="28"/>
        </w:rPr>
        <w:t xml:space="preserve"> и более.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Наибольшее значение коэффициента водопроводимости (500 м/сут) отмечается в районе Пандиверской возвышенности; к северу водопроводимость уменьшается до 100 м/сут, а в районе г. Пярну равна всего лишь 20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Эксплуатационные ресурсы ордовикского комплекса с учетом шахтного водоотлива равны 15 — 20 м/с; используется же всего около 2,5 м/с (с учетом водоотлива), что составляет 13% от общей величины ресурсов. Для хозяйственно-питьевых целей отбирается только 0,1 м/с. Этот комплекс, залегая первым от поверхности земли, служит основным источником хозяйственно-питьевого водоснабжения небольших городов (Кейла, Тапа и др.).</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Кембро</w:t>
      </w:r>
      <w:r w:rsidR="001019E5">
        <w:rPr>
          <w:sz w:val="28"/>
          <w:szCs w:val="28"/>
        </w:rPr>
        <w:t>-</w:t>
      </w:r>
      <w:r w:rsidRPr="00427478">
        <w:rPr>
          <w:sz w:val="28"/>
          <w:szCs w:val="28"/>
        </w:rPr>
        <w:t>ордовикский водоносный горизонт приурочен к пескам и песчаникам, содержащим отдельные прослои алевритов.</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В приморской полосе горизонт выходит на поверхность и имеет мощность 25 — </w:t>
      </w:r>
      <w:smartTag w:uri="urn:schemas-microsoft-com:office:smarttags" w:element="metricconverter">
        <w:smartTagPr>
          <w:attr w:name="ProductID" w:val="30 м"/>
        </w:smartTagPr>
        <w:r w:rsidRPr="00427478">
          <w:rPr>
            <w:sz w:val="28"/>
            <w:szCs w:val="28"/>
          </w:rPr>
          <w:t>30 м</w:t>
        </w:r>
      </w:smartTag>
      <w:r w:rsidRPr="00427478">
        <w:rPr>
          <w:sz w:val="28"/>
          <w:szCs w:val="28"/>
        </w:rPr>
        <w:t xml:space="preserve">, к юго-западу, по мере погружения подошвы горизонта, мощность его возрастает до </w:t>
      </w:r>
      <w:smartTag w:uri="urn:schemas-microsoft-com:office:smarttags" w:element="metricconverter">
        <w:smartTagPr>
          <w:attr w:name="ProductID" w:val="30 м"/>
        </w:smartTagPr>
        <w:r w:rsidRPr="00427478">
          <w:rPr>
            <w:sz w:val="28"/>
            <w:szCs w:val="28"/>
          </w:rPr>
          <w:t>60 м</w:t>
        </w:r>
      </w:smartTag>
      <w:r w:rsidRPr="00427478">
        <w:rPr>
          <w:sz w:val="28"/>
          <w:szCs w:val="28"/>
        </w:rPr>
        <w:t xml:space="preserve"> и более. Горизонт напорный. Наибольшие значения коэффициента водопроводимости отмечаются в северной части Эстонии (от 100 до 500 м/сут), в центральной и южной частях величина коэффициента уменьшается до 50 — 100 м/сут. Соответственно изменяется и водообильность скважин — на севере удельный дебит в среднем равен 1 л/с, в южной части он уменьшается до 0,1 — 0,4 л/с.</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Современный суммарный водоотбор по более чем 200 действующим эксплуатационным скважинам достиг 0,4 м/с. В основном воды кемброордовика используются как источник хозяйственно-питьевого водоснабжения совхозных и колхозных центров, однако имеются и централизованные водозаборы.</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Кембро-вендский водоносный комплекс имеет эксплуатационные ресурсы всего лишь около 2 м/с. Ввиду большого практического значения этого комплекса для водоснабжения городов прибрежной части Эстонии (Таллин, Кохтла-Ярве и др.) условия эксплуатации его рассмотрены более подробно.</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Горизонт представлен толщей песков, песчаников, алевролитов и глин и распространен повсеместно в пределах Эстоно-Лифляндского артезианского бассейна. Мощность водовмещающих отложений уменьшается от 70 до </w:t>
      </w:r>
      <w:smartTag w:uri="urn:schemas-microsoft-com:office:smarttags" w:element="metricconverter">
        <w:smartTagPr>
          <w:attr w:name="ProductID" w:val="30 м"/>
        </w:smartTagPr>
        <w:r w:rsidRPr="00427478">
          <w:rPr>
            <w:sz w:val="28"/>
            <w:szCs w:val="28"/>
          </w:rPr>
          <w:t>20 м</w:t>
        </w:r>
      </w:smartTag>
      <w:r w:rsidRPr="00427478">
        <w:rPr>
          <w:sz w:val="28"/>
          <w:szCs w:val="28"/>
        </w:rPr>
        <w:t xml:space="preserve"> с севера на юг. Воды напорные, распределение напоров по площади в настоящее время в значительной мере определяется влиянием мощных региональных депрессионных воронок, возникших вследствие эксплуатации горизонта сосредоточенными водозаборами в районе городов </w:t>
      </w:r>
      <w:r w:rsidR="001019E5" w:rsidRPr="00427478">
        <w:rPr>
          <w:sz w:val="28"/>
          <w:szCs w:val="28"/>
        </w:rPr>
        <w:t>Талина</w:t>
      </w:r>
      <w:r w:rsidRPr="00427478">
        <w:rPr>
          <w:sz w:val="28"/>
          <w:szCs w:val="28"/>
        </w:rPr>
        <w:t xml:space="preserve"> и Кохтла-Ярве.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В центральной и южной частях распространения кембро-вендский комплекс повсеместно слабоводоносен, в прибрежной же части водоносность его резко возрастает.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Водоотбор из кембро-вендского водоносного комплекса достиг </w:t>
      </w:r>
      <w:smartTag w:uri="urn:schemas-microsoft-com:office:smarttags" w:element="metricconverter">
        <w:smartTagPr>
          <w:attr w:name="ProductID" w:val="30 м"/>
        </w:smartTagPr>
        <w:r w:rsidRPr="00427478">
          <w:rPr>
            <w:sz w:val="28"/>
            <w:szCs w:val="28"/>
          </w:rPr>
          <w:t>1,2 м</w:t>
        </w:r>
      </w:smartTag>
      <w:r w:rsidRPr="00427478">
        <w:rPr>
          <w:sz w:val="28"/>
          <w:szCs w:val="28"/>
        </w:rPr>
        <w:t>'/с, причем примерно 50% этого количества воды используется на хозяйственно-питьевые нужды. Наиболее крупными потребителями являются Таллин и Кохтла-Ярве.</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Депрессионная воронка от работы Таллиннского водозабора распространилась под дно Рижского залива на </w:t>
      </w:r>
      <w:smartTag w:uri="urn:schemas-microsoft-com:office:smarttags" w:element="metricconverter">
        <w:smartTagPr>
          <w:attr w:name="ProductID" w:val="30 м"/>
        </w:smartTagPr>
        <w:r w:rsidRPr="00427478">
          <w:rPr>
            <w:sz w:val="28"/>
            <w:szCs w:val="28"/>
          </w:rPr>
          <w:t>17 км</w:t>
        </w:r>
      </w:smartTag>
      <w:r w:rsidRPr="00427478">
        <w:rPr>
          <w:sz w:val="28"/>
          <w:szCs w:val="28"/>
        </w:rPr>
        <w:t xml:space="preserve">, а общая площадь воронки достигла 1900 км при максимальном снижении уровня воды в центре воронки несколько более </w:t>
      </w:r>
      <w:smartTag w:uri="urn:schemas-microsoft-com:office:smarttags" w:element="metricconverter">
        <w:smartTagPr>
          <w:attr w:name="ProductID" w:val="30 м"/>
        </w:smartTagPr>
        <w:r w:rsidRPr="00427478">
          <w:rPr>
            <w:sz w:val="28"/>
            <w:szCs w:val="28"/>
          </w:rPr>
          <w:t>20 м</w:t>
        </w:r>
      </w:smartTag>
      <w:r w:rsidRPr="00427478">
        <w:rPr>
          <w:sz w:val="28"/>
          <w:szCs w:val="28"/>
        </w:rPr>
        <w:t>. По мере</w:t>
      </w:r>
      <w:r w:rsidR="001019E5">
        <w:rPr>
          <w:sz w:val="28"/>
          <w:szCs w:val="28"/>
        </w:rPr>
        <w:t xml:space="preserve"> </w:t>
      </w:r>
      <w:r w:rsidRPr="00427478">
        <w:rPr>
          <w:sz w:val="28"/>
          <w:szCs w:val="28"/>
        </w:rPr>
        <w:t>увеличения понижения происходит закономерное уменьшение величины удельного водоотбора — примерно с 2500 до 2100 м/сут.</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 xml:space="preserve">Депрессионная воронка Кохтла-Ярвинского водозабора имеет эллипсовидную форму, вытянутую в широтном направлении по радиусу на </w:t>
      </w:r>
      <w:smartTag w:uri="urn:schemas-microsoft-com:office:smarttags" w:element="metricconverter">
        <w:smartTagPr>
          <w:attr w:name="ProductID" w:val="30 м"/>
        </w:smartTagPr>
        <w:r w:rsidRPr="00427478">
          <w:rPr>
            <w:sz w:val="28"/>
            <w:szCs w:val="28"/>
          </w:rPr>
          <w:t>30 км</w:t>
        </w:r>
      </w:smartTag>
      <w:r w:rsidRPr="00427478">
        <w:rPr>
          <w:sz w:val="28"/>
          <w:szCs w:val="28"/>
        </w:rPr>
        <w:t xml:space="preserve">, а в меридиональном — на 15 — </w:t>
      </w:r>
      <w:smartTag w:uri="urn:schemas-microsoft-com:office:smarttags" w:element="metricconverter">
        <w:smartTagPr>
          <w:attr w:name="ProductID" w:val="30 м"/>
        </w:smartTagPr>
        <w:r w:rsidRPr="00427478">
          <w:rPr>
            <w:sz w:val="28"/>
            <w:szCs w:val="28"/>
          </w:rPr>
          <w:t>20 км</w:t>
        </w:r>
      </w:smartTag>
      <w:r w:rsidRPr="00427478">
        <w:rPr>
          <w:sz w:val="28"/>
          <w:szCs w:val="28"/>
        </w:rPr>
        <w:t xml:space="preserve"> при понижении в центре воронки на 25 — </w:t>
      </w:r>
      <w:smartTag w:uri="urn:schemas-microsoft-com:office:smarttags" w:element="metricconverter">
        <w:smartTagPr>
          <w:attr w:name="ProductID" w:val="30 м"/>
        </w:smartTagPr>
        <w:r w:rsidRPr="00427478">
          <w:rPr>
            <w:sz w:val="28"/>
            <w:szCs w:val="28"/>
          </w:rPr>
          <w:t>30 м</w:t>
        </w:r>
      </w:smartTag>
      <w:r w:rsidRPr="00427478">
        <w:rPr>
          <w:sz w:val="28"/>
          <w:szCs w:val="28"/>
        </w:rPr>
        <w:t xml:space="preserve"> ниже уровня моря.</w:t>
      </w:r>
    </w:p>
    <w:p w:rsidR="006C644B" w:rsidRPr="00427478" w:rsidRDefault="006C644B" w:rsidP="00427478">
      <w:pPr>
        <w:pStyle w:val="a3"/>
        <w:spacing w:before="0" w:beforeAutospacing="0" w:after="0" w:afterAutospacing="0" w:line="360" w:lineRule="auto"/>
        <w:ind w:firstLine="709"/>
        <w:jc w:val="both"/>
        <w:rPr>
          <w:sz w:val="28"/>
          <w:szCs w:val="28"/>
        </w:rPr>
      </w:pPr>
      <w:r w:rsidRPr="00427478">
        <w:rPr>
          <w:sz w:val="28"/>
          <w:szCs w:val="28"/>
        </w:rPr>
        <w:t>Следует отметить, что существенного изменения качества подземных вод при такой интенсивной эксплуатации не произошло, что свидетельствует о</w:t>
      </w:r>
      <w:r w:rsidR="001019E5">
        <w:rPr>
          <w:sz w:val="28"/>
          <w:szCs w:val="28"/>
        </w:rPr>
        <w:t xml:space="preserve"> </w:t>
      </w:r>
      <w:r w:rsidRPr="00427478">
        <w:rPr>
          <w:sz w:val="28"/>
          <w:szCs w:val="28"/>
        </w:rPr>
        <w:t>надежности защиты горизонта донными осадками. Источниками формирования эксплуатационных ресурсов подземных вод в этом районе являются, очевидно, упругие запасы.</w:t>
      </w:r>
    </w:p>
    <w:p w:rsidR="00DC3A6A" w:rsidRPr="00427478" w:rsidRDefault="006C644B" w:rsidP="001019E5">
      <w:pPr>
        <w:pStyle w:val="a3"/>
        <w:spacing w:before="0" w:beforeAutospacing="0" w:after="0" w:afterAutospacing="0" w:line="360" w:lineRule="auto"/>
        <w:ind w:firstLine="709"/>
        <w:jc w:val="both"/>
        <w:rPr>
          <w:sz w:val="28"/>
          <w:szCs w:val="28"/>
        </w:rPr>
      </w:pPr>
      <w:r w:rsidRPr="00427478">
        <w:rPr>
          <w:sz w:val="28"/>
          <w:szCs w:val="28"/>
        </w:rPr>
        <w:t>Потребность прибрежного промышленного района в пресных подземных водах не может быть удовлетворена за счет более интенсивной эксплуатации кембро-вендского горизонта. В этом районе Балтийско- Польского артезианского бассейна требуется изыскание дополнительных источников водоснабжения, например в Таллинском районе необходимы поиски и разведка участков древних переуглубленных долин, внедрение в ряде случаев методов искусственного восполнения запасов</w:t>
      </w:r>
      <w:r w:rsidR="001019E5">
        <w:rPr>
          <w:sz w:val="28"/>
          <w:szCs w:val="28"/>
        </w:rPr>
        <w:t>.</w:t>
      </w:r>
      <w:bookmarkStart w:id="0" w:name="_GoBack"/>
      <w:bookmarkEnd w:id="0"/>
    </w:p>
    <w:sectPr w:rsidR="00DC3A6A" w:rsidRPr="00427478" w:rsidSect="0042747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44B"/>
    <w:rsid w:val="000317E5"/>
    <w:rsid w:val="001019E5"/>
    <w:rsid w:val="00416C7D"/>
    <w:rsid w:val="00427478"/>
    <w:rsid w:val="006C0A52"/>
    <w:rsid w:val="006C644B"/>
    <w:rsid w:val="006E5B18"/>
    <w:rsid w:val="00800B6D"/>
    <w:rsid w:val="00AE11E1"/>
    <w:rsid w:val="00B175B4"/>
    <w:rsid w:val="00DC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14038C48-41B1-451F-96D4-77934802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C64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496477">
      <w:marLeft w:val="0"/>
      <w:marRight w:val="0"/>
      <w:marTop w:val="0"/>
      <w:marBottom w:val="0"/>
      <w:divBdr>
        <w:top w:val="none" w:sz="0" w:space="0" w:color="auto"/>
        <w:left w:val="none" w:sz="0" w:space="0" w:color="auto"/>
        <w:bottom w:val="none" w:sz="0" w:space="0" w:color="auto"/>
        <w:right w:val="none" w:sz="0" w:space="0" w:color="auto"/>
      </w:divBdr>
      <w:divsChild>
        <w:div w:id="1374496480">
          <w:marLeft w:val="0"/>
          <w:marRight w:val="0"/>
          <w:marTop w:val="0"/>
          <w:marBottom w:val="400"/>
          <w:divBdr>
            <w:top w:val="none" w:sz="0" w:space="0" w:color="auto"/>
            <w:left w:val="none" w:sz="0" w:space="0" w:color="auto"/>
            <w:bottom w:val="none" w:sz="0" w:space="0" w:color="auto"/>
            <w:right w:val="none" w:sz="0" w:space="0" w:color="auto"/>
          </w:divBdr>
          <w:divsChild>
            <w:div w:id="1374496481">
              <w:marLeft w:val="0"/>
              <w:marRight w:val="0"/>
              <w:marTop w:val="0"/>
              <w:marBottom w:val="0"/>
              <w:divBdr>
                <w:top w:val="none" w:sz="0" w:space="0" w:color="auto"/>
                <w:left w:val="none" w:sz="0" w:space="0" w:color="auto"/>
                <w:bottom w:val="none" w:sz="0" w:space="0" w:color="auto"/>
                <w:right w:val="none" w:sz="0" w:space="0" w:color="auto"/>
              </w:divBdr>
              <w:divsChild>
                <w:div w:id="1374496478">
                  <w:marLeft w:val="0"/>
                  <w:marRight w:val="0"/>
                  <w:marTop w:val="0"/>
                  <w:marBottom w:val="0"/>
                  <w:divBdr>
                    <w:top w:val="none" w:sz="0" w:space="0" w:color="auto"/>
                    <w:left w:val="none" w:sz="0" w:space="0" w:color="auto"/>
                    <w:bottom w:val="none" w:sz="0" w:space="0" w:color="auto"/>
                    <w:right w:val="none" w:sz="0" w:space="0" w:color="auto"/>
                  </w:divBdr>
                  <w:divsChild>
                    <w:div w:id="1374496475">
                      <w:marLeft w:val="0"/>
                      <w:marRight w:val="0"/>
                      <w:marTop w:val="0"/>
                      <w:marBottom w:val="0"/>
                      <w:divBdr>
                        <w:top w:val="none" w:sz="0" w:space="0" w:color="auto"/>
                        <w:left w:val="none" w:sz="0" w:space="0" w:color="auto"/>
                        <w:bottom w:val="none" w:sz="0" w:space="0" w:color="auto"/>
                        <w:right w:val="none" w:sz="0" w:space="0" w:color="auto"/>
                      </w:divBdr>
                      <w:divsChild>
                        <w:div w:id="1374496479">
                          <w:marLeft w:val="0"/>
                          <w:marRight w:val="0"/>
                          <w:marTop w:val="0"/>
                          <w:marBottom w:val="0"/>
                          <w:divBdr>
                            <w:top w:val="none" w:sz="0" w:space="0" w:color="auto"/>
                            <w:left w:val="none" w:sz="0" w:space="0" w:color="auto"/>
                            <w:bottom w:val="none" w:sz="0" w:space="0" w:color="auto"/>
                            <w:right w:val="none" w:sz="0" w:space="0" w:color="auto"/>
                          </w:divBdr>
                          <w:divsChild>
                            <w:div w:id="1374496476">
                              <w:marLeft w:val="100"/>
                              <w:marRight w:val="100"/>
                              <w:marTop w:val="100"/>
                              <w:marBottom w:val="100"/>
                              <w:divBdr>
                                <w:top w:val="single" w:sz="8" w:space="0" w:color="CCCCCC"/>
                                <w:left w:val="single" w:sz="8" w:space="0" w:color="CCCCCC"/>
                                <w:bottom w:val="single" w:sz="8" w:space="0" w:color="CCCCCC"/>
                                <w:right w:val="single" w:sz="8" w:space="0" w:color="CCCCC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22730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Ранее движение артезианских вод уподобляли потоку в трубе с источником питания, расположенным выше точки истечения воды</vt:lpstr>
    </vt:vector>
  </TitlesOfParts>
  <Company/>
  <LinksUpToDate>false</LinksUpToDate>
  <CharactersWithSpaces>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Ранее движение артезианских вод уподобляли потоку в трубе с источником питания, расположенным выше точки истечения воды</dc:title>
  <dc:subject/>
  <dc:creator>mari</dc:creator>
  <cp:keywords/>
  <dc:description/>
  <cp:lastModifiedBy>Irina</cp:lastModifiedBy>
  <cp:revision>2</cp:revision>
  <dcterms:created xsi:type="dcterms:W3CDTF">2014-09-30T12:09:00Z</dcterms:created>
  <dcterms:modified xsi:type="dcterms:W3CDTF">2014-09-30T12:09:00Z</dcterms:modified>
</cp:coreProperties>
</file>