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AB" w:rsidRDefault="006745A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Факторы и темпы экономического роста в России </w:t>
      </w:r>
    </w:p>
    <w:p w:rsidR="006745AB" w:rsidRDefault="006745A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факторы роста 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Существуют множество факторов, влияющих на экономический рост страны, но ключевых всего два. Во-первых, накопление капитала - физического или человеческого в расчете на одного занятого или душу населения. Во-вторых, изменения технологического уровня экономики, выражаемые показателем общей факторной продуктивности (ОФП). Данные изменения отражают темпы технического прогресса и структурных сдвигов в экономике. Все прочие факторы (политика государства, предпочтения населения и институты рынка, определяющие инвестиционный климат в стране, уровень развития инфраструктурных секторов и т. д.), оказывают позитивное или негативное влияние на темпы экономического роста через эти два процесса.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Экономисты много лет спорят об относительной значимости накопления капитала и роста ОФП. С одной стороны, хорошо известно, что недостаток производственного капитала в слаборазвитых странах сдерживает их развитие. Инвестиции не идут в эти страны, несмотря на потенциально очень высокую отдачу, что больше всего препятствует их интеграции с мировой экономикой. С другой стороны, как показывает регрессионный анализ, межстрановая вариация темпов роста в большей мере объясняется различиями в ОФП, а не в темпах накопления капитала. Существует точка зрения, высказанная, к примеру, Эрнандо де Сото, что если капитальное имущество, имеющееся в бедных странах правильно оценить, то его величина оказывается намного выше стандартных оценок по системе национальных счетов.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один аргумент в пользу доминирующей роли ОФП как фактора роста является тот факт, что долговременные нормы сбережений в развитых и развивающихся странах варьируют слишком слабо, чтобы объяснить вариации доходов на душу населения. Например, в развитых странах и беднейших странах Африки они примерно одинаковы и составляют в среднем примерно 20% ВВП.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накопления человеческого капитала как фактора роста, то основной вопрос в том, как этот капитал измерять. Говоря о роли данного фактора в экономическом развитии, теория роста имеет в виду знания и практический опыт, необходимые в производстве и продвижении на рынок продукции. Данные навыки являются в значительной мере следствием обучения на практике и лишь косвенным образом зависят от уровня образования. Однако, большая часть эмпирических исследований роста основываются на измерениях именно уровня образования, который на самом деле взаимосвязан с уровнем развития страны.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образовательный уровень позитивно влияет на эффективность производства и процессов обучения, повышая восприимчивость работников к новым технологиям, ноу-хау и т. д. Но сам по себе он не гарантирует высоких темпов роста, особенно если в экономике отсутствуют механизмы его генерации. Экономика бывшего СССР, да и современной России представляет в этом смысле яркий пример: доля лиц с высшим образованием в нашей стране была и остается сопоставимой с аналогичными показателями в передовых странах, однако это практически не сказалось на ее экономической динамике. В ряде странах Африки и Азии рост образования достиг за последние четверть века невиданных ранее темпов, однако это практически не сказалось на экономической динамике данных стран. Это подтверждает и опыт Индии, где значительные ресурсы государства направлялись на повышение образования и фундаментальных исследований. Однако индийская модель развития так и не стала эталоном для подражания.</w:t>
      </w:r>
    </w:p>
    <w:p w:rsidR="006745AB" w:rsidRDefault="006745A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Калькуляция темпов роста 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Основываясь на том положении, что главными факторами роста являются накопление капитала и увеличение ОФП, можно оценить вклад инвестиций в производственный капитал в темпы роста российской экономики. Предположим, что в ближайшие 10 лет произойдет равномерное возмещение выбытия около 60% стоимости действующих основных производственных фондов. Тогда при росте валовых инвестиций на 7% в год их чистый прирост должен составить 2%. Это достаточно оптимистичный прогноз, превышающий значение прироста физического объема основных фондов (без учета износа) за 2001 г., составившего согласно данным Госкомстата всего лишь 1.7% ("Россия в цифрах 2002", с. 59). При факторной доле труда в ВВП примерно 50% увеличение основного капитала на 2% в год обеспечит 1% прироста ВВП на одного занятого.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учитывая реальную степень износа основных производственных фондов в России, составляющую по официальным данным более 40%, мы можем констатировать, что инвестиции в производственный капитал смогут дать лишь незначительный прирост ВВП. Отсюда следует, что основное значение в обеспечении устойчивого роста Российской экономики должно будет играть повышение ОФП. Поскольку данный фактор отражает повышение общего технологического уровня экономики, то правомерно поставить вопрос о динамике ОФП российской экономики, позволяющей достичь существующий уровень технологии развитых стран. Заметим, что речь не идет об оценках догоняющего роста, ставших некоторое время назад предметом оживленной дискуссии.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ответа на данный вопрос необходимо приближенно оценить степень технологического отставания России от развитых стран. В качестве примера возьмем США, в которых производительность и капиталовооруженность труда, соответственно, в 5 и 7 раз выше, чем в России. При одинаковой доле труда в ВВП таким показателям приближенно отвечало бы различие уровней ОФП в 2 раза. На самом деле это минимальная оценка, так как доля труда в ВВП США заметно выше чем в России и составляет около 70%. Иными словами, пятикратный разрыв производительности труда этих стран как минимум на 40% обусловлен разрывом технологического уровня и как максимум на 60% - в обеспеченности труда капиталом.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Исходя из двукратного технологического разрыва России и США можно оценить темп роста ОФП, который обеспечил бы достижение современного уровня технологий США в течение ближайших 15-20 лет: это 3.5-4.7% годовых. С учетом приведенной выше оценки вклада капитала рост ВВП на одного занятого должен быть равен 4.5-5.7%. Эти цифры близки к "умеренно-оптимистичному" официальному прогнозу на ближайшие несколько лет (при условии постоянной численности занятых, которая увеличивалась после кризиса в среднем лишь на 0.6% в год). Еще раз подчеркнем, что эти расчеты исходят не из целевой установки "догнать и перегнать", а из более чем скромной задачи элиминирования существующего в данный момент технологического разрыва в течение долгосрочного периода 15-20 лет. Более быстрое решение данной задачи, например, за 10 лет потребовало бы гораздо более амбициозных темпов роста ВВП, а именно около 8% в год.</w:t>
      </w:r>
    </w:p>
    <w:p w:rsidR="006745AB" w:rsidRDefault="006745A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Экспортно-ориентированный рост 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Надежды многих сторонников либерализации внешней торговли и вхождения в России в ВТО связаны с моделью экспортно-ориентированного роста. Это обусловлено тем, что страны, открытые для мирового рынка демонстрируют относительно более высокие темпы долговременного роста. Наиболее яркий пример представляют собой экономики Юго-Восточной Азии (ЮВА), добившиеся несомненных успехов благодаря переориентации на внешние рынки. Может ли Россия, скопировав опыт этих стран, добиться ускорения темпов роста, в особенности в обрабатывающих отраслях? Подобные структурные сдвиги означали бы существенное изменение специализации нашей страны в системе международных интеграционных связей и ее приближение к передовым экономикам.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в том, что модель экспортно-ориентированного роста в варианте стран ЮВА вряд ли применима в России. С одной стороны, процесс импортозамещения после кризиса показал, что ряд отраслей вполне способен к международной конкуренции, хотя и с учетом соотношения цены и качества. Динамика некоторых сегментов внутреннего рынка породила определенный оптимизм и надежду на возможное продолжение роста за счет внешней экспансии. Однако эти надежды вряд ли оправданы, прежде всего, из-за масштабов российской экономики. Пока есть значительный потенциал собственных рынков, вряд ли имеет смысл вкладывать средства в продвижение продукции за рубеж, особенно в страны, где конкурентная борьба намного острее. Произошедшие кое-где сдвиги в уровне качества также были рассчитаны в основном на стандарты внутреннего рынка. Иностранные инвестиции, частично их породившие, также были рассчитаны на потенциал внутреннего рынка. Конечно, со временем возрастающая отдача от масштабов производства может дать России выигрыш в международной торговле, однако это возможно лишь в результате развития рынков внутри страны.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другой стороны, опыт успешной реализации модели экспортно-ориентированного роста в странах ЮВА не совсем верно трактуется большинством сторонников этой модели. Прежде всего, надо учитывать ту роль, которую сыграло в ее реализации присутствие новых индустриальных экономик "первого эшелона" - Японии и Кореи. Они добились успехов благодаря откровенно протекционистской политике, которая в отличие от неудачных экспериментов латиноамериканских стран 50-60х годов ориентировалась на внешнюю экспансию, а не на внутренние рынки. Осуществив прорыв, эти две страны образовали своеобразное ядро, вокруг которого оформилось дальнейшее развитие всего региона.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экспортно-ориентированный рост в других странах ЮВА был порожден деятельностью транснациональных корпораций (ТНК), прежде всего, японских и американских. Данный регион оказался очень подходящим местом для прямых иностранных инвестиций, ориентированных на экспорт в глобальных масштабах. Правительства этих стран последовательно придерживались либеральной экономической политики и гарантировали бизнесу стабильные условия. Основным их сравнительным преимуществом был дешевый, дисциплинированный и способный к обучению труд. Малайский или тайский работник был готов за 100 долларов работать "в поте лица". Заметим, что в России эта планка уже на сегодняшний день (как, впрочем, и до кризиса 98 г.) в несколько раз выше.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Участие ТНК привело к интеграции в мировой хозяйственный комплекс всего региона, а не отдельной экономики. Это произошло благодаря созданию системы региональных производственных связей, позволявших использовать внешние эффекты от масштабов производства и международной кооперации. Межстрановое внутрифирменное размещение производства по звеньям технологических цепочек позволило ТНК создать циклы, обеспечивавшие максимальную рационализацию производственного процесса. Например, производство деталей могло осуществляться в странах с более квалифицированным трудом, а сборка - в странах с менее квалифицированным трудом. В результате доля ТНК в промышленном экспорте стран региона составила от 30 до 90%. </w:t>
      </w:r>
      <w:r>
        <w:rPr>
          <w:color w:val="000000"/>
          <w:sz w:val="24"/>
          <w:szCs w:val="24"/>
          <w:lang w:val="en-US"/>
        </w:rPr>
        <w:t>(Urata S., "Emergence of an FDI-Trade Nexus and Economic Growth in East Asia", in: Rethinking the East-Asian Miracle, The Oxford University Press, 2001, p. 443.)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Ряд эмпирических исследований процесса роста в странах ЮВА дает парадоксальные результаты: собственно наращивание экспорта не оказало значимого влияния на увеличение продуктивности. Гораздо важнее было привнесение новых технологий, обучение на практике, и что важнее всего, увеличение импорта. Открытость экономик ЮВА "второго эшелона" (стран АСЕАН и Китая) к импорту сыграла решающую роль, главным образом благодаря технологическим трансфертам и жесткой конкуренции. Оценки влияния этого фактора, позволяют сделать вывод о недостаточной реализации потенциала роста странами "первого эшелона", практиковавшими протекционизм. </w:t>
      </w:r>
      <w:r>
        <w:rPr>
          <w:color w:val="000000"/>
          <w:sz w:val="24"/>
          <w:szCs w:val="24"/>
          <w:lang w:val="en-US"/>
        </w:rPr>
        <w:t>(Lawrence R., Weinstein D., "Trade and Growth: Import-Led or Export-Led? Evidence from Japan and Korea", in: Rethinking the East-Asian Miracle, The Oxford University Press, 2001.)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это убеждает в неприменимости для России стратегии развития, пытающейся копировать корейскую или китайскую модель. Во-первых, по многим политическим и экономическим причинам (нестабильность налоговых законов, непрозрачность условий бизнеса, не очень последовательный либерализм нынешних властей) наивно рассчитывать на привлекательность России для ТНК. Во-вторых, вряд ли отечественным политикам и "крепким" хозяйственникам пришлась бы по вкусу идея реорганизации национальной экономики под контролем мировых корпораций. В-третьих, масштабы нашей страны достаточно велики для развития внутреннего рынка, но недостаточны для создания системы регионального производства, аналогичной восточно-азиатской. По этой причине прямые иностранные инвестиции в Россию ориентируются на внутренний, а не внешний рынок. В-четвертых, торговая политика, нацеленная на экспортную экспансию, но основанная на ограничении импорта, замедлит технологический рост и принесет больше вреда, чем пользы. В-пятых, экспортно-ориентированный рост сырьевого сектора, в принципе не способного индуцировать долговременное развитие, запрограммирован не только существующей специализацией России, но и невнятной стратегией правительства. Например, реализация планов снабжения госрезервов США российской нефтью означает увеличение сырьевого экспорта через 5-7 лет в два-три раза и окончательное закрепление за нашей страной статуса мирового поставщика энергоносителей.</w:t>
      </w:r>
    </w:p>
    <w:p w:rsidR="006745AB" w:rsidRDefault="006745A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Ориентированный внутрь рост 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Узость возможностей развития, ориентированного на внешние рынки, еще не означает, что модель быстрого роста в России в принципе нереализуема. В качестве примера можно привести опыт США, Германии (да и той же России) в конце 19 в. или послевоенной Европы, где быстрый рост происходил на основе внутренних рынков. Вопрос, таким образом, заключается в их способности генерировать ускоренный рост.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Теоретически, подобные возможности могут возникать благодаря положительным обратным связям в динамике агрегированного спроса и инвестиций. В конце 80-х годов некоторые западные экономисты подчеркивали роль внешних эффектов в денежной форме (pecuniary externalities), позволяющих объяснять ускоренный рост в одних странах и “ловушки бедности” в других. Увеличение спроса в некоторой отрасли создает импульс роста инвестиций и спроса в других отраслях, что может стать самовоспроизводящимся процессом (при соответствующих эффектах масштаба и координации ожиданий участников). Но чтобы такой рост начался, либо капитал и уровень оплаты труда должны превышать некоторые пороговые значения, либо ожидания экономических агентов должны быть оптимистичными. В противном случае внешние эффекты действуют в обратном направлении, и экономика не может выбраться из состояния слабой развитости.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наш взгляд, для демонстрации роли положительных обратных связей совсем не обязательно апеллировать к подобным теоретическим конструкциям, достоверность которых трудно оценивать эмпирически. В практических целях вполне достаточно рассмотреть простые неокейнсианские модели роста, основанные на принципе мультипликатора или акселератора. В известной модели мультипликативного роста Е. Домара инвестиции генерируют дополнительный спрос, в свою очередь увеличивающий инвестиции и т. д. В не менее известной модели Р. Харрода действует обратный механизм, когда прирост агрегированного спроса создает инвестиции, положительно влияющие на спрос. Это две разные концепции роста, которые при отсутствии лагов формально идентичны и потому названы моделью Харрода-Домара. Несмотря на уязвимость к критике, она многие десятилетия служила практическим руководством в программах макроэкономического развития (и международной помощи) в развивающихся странах. Для нас эта модель представляет интерес постольку, поскольку на сегодняшний день именно механизм взаимодействия спроса и инвестиций в Российской экономике позволяет сохранять надежды на обеспечение темпов роста не ниже 5%.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демонстрации его действия в контексте обсуждаемых здесь вопросов рассмотрим модифицированный вариант модели акселератора Харрода, представленной в боксе. С одной стороны, технологический темп роста ВВП на одного занятого является суммой темпов роста ОФП и физического капитала, с учетом его факторной доли в ВВП. С другой стороны, предполагается, что темп валового накопления капитала пропорционален темпу роста ВВП с коэффициентом, равным произведению акселератора инвестиций и средней фондоотдачи. Поскольку темп чистого накопления капитала есть разность темпов его валового накопления и выбытия, получается результирующие выражение для темпа роста ВВП (см. врезку). Его знаменатель отражает действие механизма акселератора: чем меньше его значение, тем сильнее выражен данный эффект.</w:t>
      </w:r>
    </w:p>
    <w:p w:rsidR="006745AB" w:rsidRDefault="006745A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Модифицированная модель Харрода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технологический темп роста ВВП: yt = xt + akt 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соотношение акселератора: kt = It/Kt - dt = Asyt - dt 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результирующий темп роста ВВП: yt = (xt - adt)/(1 - aAs) 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Обозначения: yt - темп роста ВВП, xt - темп роста ОФП, kt - темп роста капитала, dt - темп выбытия капитала, It - валовые инвестиции, Kt - физический объем капитала, a - факторная доля капитала, A - акселератор инвестиций, s - средняя фондоотдача.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Акселератор инвестиций оценивается как отношение нормы накопления капитала к темпу роста ВВП, что для России примерно равно 3. Средняя фондоотдача, согласно данным Госкомстата, принимается равной 0.5. Считая, как и выше, что факторная доля капитала в ВВП составляет 0.5, получаем вариантный прогноз результирующих темпов роста ВВП в зависимости от нормы выбытия и динамики ОФП (см. таблицу).</w:t>
      </w:r>
    </w:p>
    <w:tbl>
      <w:tblPr>
        <w:tblW w:w="7650" w:type="dxa"/>
        <w:tblCellSpacing w:w="7" w:type="dxa"/>
        <w:tblInd w:w="-59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47"/>
        <w:gridCol w:w="1149"/>
        <w:gridCol w:w="1149"/>
        <w:gridCol w:w="1149"/>
        <w:gridCol w:w="1156"/>
      </w:tblGrid>
      <w:tr w:rsidR="006745AB" w:rsidRPr="006745AB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(в % годовых)</w:t>
            </w:r>
          </w:p>
        </w:tc>
        <w:tc>
          <w:tcPr>
            <w:tcW w:w="3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темп роста ОФП</w:t>
            </w:r>
          </w:p>
        </w:tc>
      </w:tr>
      <w:tr w:rsidR="006745AB" w:rsidRPr="006745AB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норма выбытия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4.5</w:t>
            </w:r>
          </w:p>
        </w:tc>
      </w:tr>
      <w:tr w:rsidR="006745AB" w:rsidRPr="006745AB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8</w:t>
            </w:r>
          </w:p>
        </w:tc>
      </w:tr>
      <w:tr w:rsidR="006745AB" w:rsidRPr="006745AB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5AB" w:rsidRPr="006745AB" w:rsidRDefault="006745A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745AB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показывает, насколько чувствительными могут быть темпы роста ВВП к изменениям нормы выбытия и ОФП. Эффект акселератора проявляется лишь при достаточно умеренном темпе выбытия капитала 5%. Но уже при темпе 7% требуется достаточно высокий рост ОФП, чтобы обеспечить умеренный рост ВВП. Таким образом, необходимо, чтобы технологические сдвиги достаточно сильно коррелировали с выбытием мощностей, что означает овеществленный в новых инвестициях технический прогресс. Иначе рост может быть близким к нулю или отрицательным, несмотря на положительные связи между спросом и производственными инвестициями.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прекрасно понимаем ограниченность данной модели и, в первую очередь, предположения о постоянстве коэффициента акселерации для развивающейся экономики. Кроме того, мы не учитываем фактор природных ресурсов, поэтому реальная доля капитала в ВВП должна быть ниже 0.5. Приведенные расчеты носят скорее иллюстративный характер и не предназначены для прогнозирования реального роста. В данном случае важен качественный вывод: рост невозможен без адекватного увеличения ОФП. Причем чем интенсивнее выбытие капитала, тем более высоким должно быть повышение технологического уровня экономики. Иначе Россия не только не удержит планку роста выше 5%, но и опять окажется в зоне отрицательных темпов. А эффекты положительной обратной связи лишь усилят спад, как и предсказывается теориями “ловушки бедности”.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этих рассуждений следует, что ориентированный внутрь рост в нынешних условиях невозможен без значительных технологических сдвигов, что требует отказа от протекционистских заслонов. С учетом усиливающейся уязвимости российской экономики к ценовым воздействиям внешнего рынка государству следует больше внимания уделять использованию инструментов антициклического воздействия на спрос, сглаживающих колебания ВВП. При аномально высокой волатильности рынка нефти данные колебания могут достичь 2-3% ВВП. До кризиса 1998 г. экономика семь лет находилась в состоянии трансформационного спада, а затем три года росла под воздействием благоприятных внешних факторов. В дальнейшем же можно ожидать продолжения роста, но с явно выраженными колебаниями темпов, способными усиливаться благодаря взаимосвязям спроса и инвестиций. Поэтому в ближайшие годы может стать актуальным вопрос об активизации политики государственных расходов, поскольку инструменты монетарной политики пока еще мало предназначены для решения подобных задач.</w:t>
      </w:r>
    </w:p>
    <w:p w:rsidR="006745AB" w:rsidRDefault="006745A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745AB" w:rsidRDefault="006745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Георгий Трофимов. Факторы и темпы экономического роста в России</w:t>
      </w:r>
    </w:p>
    <w:p w:rsidR="006745AB" w:rsidRDefault="006745A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745A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11C54"/>
    <w:multiLevelType w:val="hybridMultilevel"/>
    <w:tmpl w:val="FC60A7A0"/>
    <w:lvl w:ilvl="0" w:tplc="3C088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827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506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0F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C1B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687E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863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0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84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643"/>
    <w:rsid w:val="006745AB"/>
    <w:rsid w:val="006B75C6"/>
    <w:rsid w:val="00A15DC2"/>
    <w:rsid w:val="00E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11485D-E5EE-46D7-993F-FEDDF201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color w:val="2222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12464</Words>
  <Characters>7105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Факторы и темпы экономического роста в России </vt:lpstr>
    </vt:vector>
  </TitlesOfParts>
  <Company>PERSONAL COMPUTERS</Company>
  <LinksUpToDate>false</LinksUpToDate>
  <CharactersWithSpaces>19530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Факторы и темпы экономического роста в России </dc:title>
  <dc:subject/>
  <dc:creator>USER</dc:creator>
  <cp:keywords/>
  <dc:description/>
  <cp:lastModifiedBy>admin</cp:lastModifiedBy>
  <cp:revision>2</cp:revision>
  <dcterms:created xsi:type="dcterms:W3CDTF">2014-01-26T18:04:00Z</dcterms:created>
  <dcterms:modified xsi:type="dcterms:W3CDTF">2014-01-26T18:04:00Z</dcterms:modified>
</cp:coreProperties>
</file>