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E4" w:rsidRPr="003A5C5D" w:rsidRDefault="009D10E4" w:rsidP="003A5C5D">
      <w:pPr>
        <w:spacing w:line="360" w:lineRule="auto"/>
        <w:ind w:firstLine="709"/>
        <w:jc w:val="center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Криворізький факультет Дніпропетровського державного</w:t>
      </w:r>
    </w:p>
    <w:p w:rsidR="009D10E4" w:rsidRPr="003A5C5D" w:rsidRDefault="009D10E4" w:rsidP="003A5C5D">
      <w:pPr>
        <w:spacing w:line="360" w:lineRule="auto"/>
        <w:ind w:firstLine="709"/>
        <w:jc w:val="center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університету внутрішніх справ</w:t>
      </w:r>
    </w:p>
    <w:p w:rsidR="009D10E4" w:rsidRPr="003A5C5D" w:rsidRDefault="009D10E4" w:rsidP="003A5C5D">
      <w:pPr>
        <w:spacing w:line="360" w:lineRule="auto"/>
        <w:ind w:firstLine="709"/>
        <w:jc w:val="center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кафедра загально - правових дисциплін</w:t>
      </w: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center"/>
        <w:rPr>
          <w:rFonts w:cs="Arial"/>
          <w:b/>
          <w:sz w:val="28"/>
          <w:szCs w:val="40"/>
          <w:lang w:val="uk-UA"/>
        </w:rPr>
      </w:pPr>
      <w:r w:rsidRPr="003A5C5D">
        <w:rPr>
          <w:rFonts w:cs="Arial"/>
          <w:b/>
          <w:sz w:val="28"/>
          <w:szCs w:val="40"/>
          <w:lang w:val="uk-UA"/>
        </w:rPr>
        <w:t>Реферат</w:t>
      </w:r>
    </w:p>
    <w:p w:rsidR="009D10E4" w:rsidRPr="003A5C5D" w:rsidRDefault="009D10E4" w:rsidP="003A5C5D">
      <w:pPr>
        <w:spacing w:line="360" w:lineRule="auto"/>
        <w:ind w:firstLine="709"/>
        <w:jc w:val="center"/>
        <w:rPr>
          <w:rFonts w:cs="Arial"/>
          <w:b/>
          <w:sz w:val="28"/>
          <w:szCs w:val="28"/>
          <w:lang w:val="uk-UA"/>
        </w:rPr>
      </w:pPr>
      <w:r w:rsidRPr="003A5C5D">
        <w:rPr>
          <w:rFonts w:cs="Arial"/>
          <w:b/>
          <w:sz w:val="28"/>
          <w:szCs w:val="28"/>
          <w:lang w:val="uk-UA"/>
        </w:rPr>
        <w:t>з курсу ,, Міжнародне право ,,</w:t>
      </w:r>
    </w:p>
    <w:p w:rsidR="009D10E4" w:rsidRPr="003A5C5D" w:rsidRDefault="009D10E4" w:rsidP="003A5C5D">
      <w:pPr>
        <w:spacing w:line="360" w:lineRule="auto"/>
        <w:ind w:firstLine="709"/>
        <w:jc w:val="center"/>
        <w:rPr>
          <w:rFonts w:cs="Arial"/>
          <w:b/>
          <w:sz w:val="28"/>
          <w:szCs w:val="28"/>
          <w:lang w:val="uk-UA"/>
        </w:rPr>
      </w:pPr>
      <w:r w:rsidRPr="003A5C5D">
        <w:rPr>
          <w:rFonts w:cs="Arial"/>
          <w:b/>
          <w:sz w:val="28"/>
          <w:szCs w:val="28"/>
          <w:lang w:val="uk-UA"/>
        </w:rPr>
        <w:t>Тема. Дипломатичне і консульське право</w:t>
      </w: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right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Виконала : студентка</w:t>
      </w:r>
    </w:p>
    <w:p w:rsidR="009D10E4" w:rsidRPr="003A5C5D" w:rsidRDefault="009D10E4" w:rsidP="003A5C5D">
      <w:pPr>
        <w:spacing w:line="360" w:lineRule="auto"/>
        <w:ind w:firstLine="709"/>
        <w:jc w:val="right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заочної форми навчання</w:t>
      </w:r>
    </w:p>
    <w:p w:rsidR="009D10E4" w:rsidRPr="003A5C5D" w:rsidRDefault="009D10E4" w:rsidP="003A5C5D">
      <w:pPr>
        <w:spacing w:line="360" w:lineRule="auto"/>
        <w:ind w:firstLine="709"/>
        <w:jc w:val="right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за спеціальністю</w:t>
      </w:r>
    </w:p>
    <w:p w:rsidR="009D10E4" w:rsidRPr="003A5C5D" w:rsidRDefault="009D10E4" w:rsidP="003A5C5D">
      <w:pPr>
        <w:spacing w:line="360" w:lineRule="auto"/>
        <w:ind w:firstLine="709"/>
        <w:jc w:val="right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,, Правознавство ,,</w:t>
      </w:r>
    </w:p>
    <w:p w:rsidR="009D10E4" w:rsidRPr="003A5C5D" w:rsidRDefault="009D10E4" w:rsidP="003A5C5D">
      <w:pPr>
        <w:spacing w:line="360" w:lineRule="auto"/>
        <w:ind w:firstLine="709"/>
        <w:jc w:val="right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групи ПЗ-2006/1</w:t>
      </w:r>
    </w:p>
    <w:p w:rsidR="009D10E4" w:rsidRPr="003A5C5D" w:rsidRDefault="007C164C" w:rsidP="003A5C5D">
      <w:pPr>
        <w:spacing w:line="360" w:lineRule="auto"/>
        <w:ind w:firstLine="709"/>
        <w:jc w:val="right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С</w:t>
      </w:r>
      <w:r w:rsidR="009D10E4" w:rsidRPr="003A5C5D">
        <w:rPr>
          <w:rFonts w:cs="Arial"/>
          <w:sz w:val="28"/>
          <w:szCs w:val="28"/>
          <w:lang w:val="uk-UA"/>
        </w:rPr>
        <w:t>еус Н. С.</w:t>
      </w: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9D10E4" w:rsidRPr="003A5C5D" w:rsidRDefault="009D10E4" w:rsidP="003A5C5D">
      <w:pPr>
        <w:spacing w:line="360" w:lineRule="auto"/>
        <w:ind w:firstLine="709"/>
        <w:jc w:val="center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м. Кривий Ріг</w:t>
      </w:r>
    </w:p>
    <w:p w:rsidR="009D10E4" w:rsidRPr="003A5C5D" w:rsidRDefault="009D10E4" w:rsidP="003A5C5D">
      <w:pPr>
        <w:spacing w:line="360" w:lineRule="auto"/>
        <w:ind w:firstLine="709"/>
        <w:jc w:val="center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2008 р.</w:t>
      </w:r>
    </w:p>
    <w:p w:rsidR="00114767" w:rsidRPr="003A5C5D" w:rsidRDefault="003A5C5D" w:rsidP="003A5C5D">
      <w:pPr>
        <w:spacing w:line="360" w:lineRule="auto"/>
        <w:ind w:firstLine="709"/>
        <w:jc w:val="center"/>
        <w:rPr>
          <w:rFonts w:cs="Arial"/>
          <w:b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br w:type="page"/>
      </w:r>
      <w:r w:rsidR="00114767" w:rsidRPr="003A5C5D">
        <w:rPr>
          <w:rFonts w:cs="Arial"/>
          <w:b/>
          <w:bCs/>
          <w:sz w:val="28"/>
          <w:szCs w:val="28"/>
          <w:lang w:val="uk-UA"/>
        </w:rPr>
        <w:t>Поняття дипломатичного і консульського права та їхні джерела</w:t>
      </w:r>
    </w:p>
    <w:p w:rsidR="00114767" w:rsidRP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</w:p>
    <w:p w:rsidR="003A5C5D" w:rsidRDefault="003A5C5D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 xml:space="preserve">Дипломатичне </w:t>
      </w:r>
      <w:r w:rsidR="00114767" w:rsidRPr="003A5C5D">
        <w:rPr>
          <w:rFonts w:cs="Arial"/>
          <w:sz w:val="28"/>
          <w:szCs w:val="28"/>
          <w:lang w:val="uk-UA"/>
        </w:rPr>
        <w:t>і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консульське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право — це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галузь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міжнародного публічного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права,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що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складається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з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принципів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і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норм, що регламентують і регулюють офіційні відносини і зв'язки між державами й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іншими суб'єктами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міжнародного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права,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здійснювані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за допомогою органів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зовнішніх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зносин.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Початок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становлення цієї галузі пов'язаний з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розвитком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людської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цивілізації,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тому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вона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вважається</w:t>
      </w:r>
      <w:r w:rsidRPr="003A5C5D">
        <w:rPr>
          <w:rFonts w:cs="Arial"/>
          <w:sz w:val="28"/>
          <w:szCs w:val="28"/>
          <w:lang w:val="uk-UA"/>
        </w:rPr>
        <w:t xml:space="preserve"> однією </w:t>
      </w:r>
      <w:r w:rsidR="00114767" w:rsidRPr="003A5C5D">
        <w:rPr>
          <w:rFonts w:cs="Arial"/>
          <w:sz w:val="28"/>
          <w:szCs w:val="28"/>
          <w:lang w:val="uk-UA"/>
        </w:rPr>
        <w:t>з найбільш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древніх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у міжнародному публічному праві. її початки можна виявити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вже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в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період родоплемінного розвитку людської цивілізації, коли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сусідні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племена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вели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переговори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з питань війни і миру через своїх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представників.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Пізніше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такі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представники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в ході переговорів почали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вирішувати долю полонених одноплемінників, визначення меж територій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і т.п. У такий спосіб укладався певний звичай, що призвів до створення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в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період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виникнення</w:t>
      </w:r>
      <w:r w:rsidRPr="003A5C5D">
        <w:rPr>
          <w:rFonts w:cs="Arial"/>
          <w:sz w:val="28"/>
          <w:szCs w:val="28"/>
          <w:lang w:val="uk-UA"/>
        </w:rPr>
        <w:t xml:space="preserve"> </w:t>
      </w:r>
      <w:r w:rsidR="00114767" w:rsidRPr="003A5C5D">
        <w:rPr>
          <w:rFonts w:cs="Arial"/>
          <w:sz w:val="28"/>
          <w:szCs w:val="28"/>
          <w:lang w:val="uk-UA"/>
        </w:rPr>
        <w:t>держав інституту недоторканності посла, а потім дипломатичного і консульського права.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Зі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створенням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держав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стали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складатися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звичаї, що знаходили вираження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договорах,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регулювали офіційні відносини між державами.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Ці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звичаї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визначали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режим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діяльність посла як тимчасового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представника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суверена.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Вже в Древній Індії в першому тисячоріччі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нашої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ери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Закони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Ману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говорили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те,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 дипломатичне мистецтво полягає в умінні запобігати війні і зміцнювати мир.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розділі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«Цар»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записано, що мир і його протилежність — війна залежать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послів,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їхній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владі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знаходяться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справи,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через які відбуваються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мир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або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війна.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«Піднімаючий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руку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посла йде до загибелі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знищення»,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— говорили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Закони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Ману,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тому що здавна вважалося, що посол знаходиться під заступництвом божества.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Значні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зв'язки в Древній Греції призвели до виникнення класу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особливих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осіб — «вісників»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(ангелос,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керюкос)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1D3960" w:rsidRPr="003A5C5D">
        <w:rPr>
          <w:rFonts w:cs="Arial"/>
          <w:sz w:val="28"/>
          <w:szCs w:val="28"/>
          <w:lang w:val="uk-UA"/>
        </w:rPr>
        <w:t>старійшин</w:t>
      </w:r>
      <w:r w:rsidRPr="003A5C5D">
        <w:rPr>
          <w:rFonts w:cs="Arial"/>
          <w:sz w:val="28"/>
          <w:szCs w:val="28"/>
          <w:lang w:val="uk-UA"/>
        </w:rPr>
        <w:t>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уповноважувалися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відати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зовнішніми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зносинами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 забезпечувалися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відповідними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грамотами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(дипломами) — здвоєними дощечками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відповідними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написами,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давали право виконання офіційних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представницьких функцій за кордоном. З Древньою Грецією пов'язане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становлення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інституту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постійних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консулів.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Він почав свій розвиток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інституту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проксенії.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Проксенами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були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громадяни старогрецьких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міст</w:t>
      </w:r>
      <w:r w:rsidR="00C44CE2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-</w:t>
      </w:r>
      <w:r w:rsidR="00C44CE2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полісів,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представляли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 захищали інтереси іноземців.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Разом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інститутом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проксенії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почався процес формування початкових звичайних норм консульського права.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Суттєвий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внесок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становлення дипломатичного і консульського права внесла цивілізація Древнього Рима. Тут було вироблене поняття святості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посольства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договорів</w:t>
      </w:r>
      <w:r w:rsidRPr="003A5C5D">
        <w:rPr>
          <w:rFonts w:cs="Arial"/>
          <w:sz w:val="28"/>
          <w:szCs w:val="28"/>
          <w:lang w:val="uk-UA"/>
        </w:rPr>
        <w:t>, були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створені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спеціальні органи зовнішніх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зносин,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особлива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жрецька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комісія — феціали.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 республіканському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Римі посольства в закордонні країни призначалися спеціальною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постановою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Сенату.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їхній</w:t>
      </w:r>
      <w:r w:rsidR="00C44CE2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склад входили, як правило, декілька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послів,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один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із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 xml:space="preserve">яких був главою. </w:t>
      </w:r>
      <w:r w:rsidRPr="003A5C5D">
        <w:rPr>
          <w:rFonts w:cs="Arial"/>
          <w:sz w:val="28"/>
          <w:szCs w:val="28"/>
          <w:lang w:val="uk-UA"/>
        </w:rPr>
        <w:t>Вже тоді в дипломатичній практиці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Рима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різнилися: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посли,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оратори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44CE2" w:rsidRPr="003A5C5D">
        <w:rPr>
          <w:rFonts w:cs="Arial"/>
          <w:sz w:val="28"/>
          <w:szCs w:val="28"/>
          <w:lang w:val="uk-UA"/>
        </w:rPr>
        <w:t>вісники</w:t>
      </w:r>
      <w:r w:rsidRPr="003A5C5D">
        <w:rPr>
          <w:rFonts w:cs="Arial"/>
          <w:sz w:val="28"/>
          <w:szCs w:val="28"/>
          <w:lang w:val="uk-UA"/>
        </w:rPr>
        <w:t>. Посли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своїй діяльності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були підзвітні Сенату, вони мали особливі знаки відмінності (особливого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виду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золотий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перстень,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грав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роль вірчих грамот і давав право на привілеї і пільги).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"В імператорську епоху в Римі був створений особливий апарат, що займався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зовнішніми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зносинами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підлеглий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імператору.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Посли призначалися вже імператором.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Древньому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Римі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виник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інститут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патронату, представники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якого — патрони — захищали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інтереси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іноземців,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 були клієнтами патрона.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рабовласницький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період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став формуватися інститут привілеїв та імунітетів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послів,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головним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елементом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якого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виступала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особиста недоторканність.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феодальну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епоху дипломатичні відносини існували в основному між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державами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визначеного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регіону — у Європі,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Ближньому і Далекому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Сході, в Африці і т.д. Хоча окремі зв'язки встановлювалися і між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дуже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віддаленими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одна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одної державами. Активну роль у становленні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відносин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той період відігравала католицька церква. У зв'язку з розвитком торгових відносин 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епоху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Відродження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особливе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значення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одержують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консульські відносини.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 XVI-XVIII сторіччях у період переходу до капіталістичного засобу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виробництва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виникає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інститут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постійного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посольства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й укладаються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норми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посольського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затверджується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принцип повного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вилучення дипломатичного представника з карної, цивільної й адміністративної юрисдикції держави перебування.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Аж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середини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XIX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сторіччя дипломатичне і консульське право складалося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переважно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зі звичаєвих норм, хоча 19 березня 1815 року на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Конгресі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був прийнятий перший багатосторонній договір із дипломатичного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 — Віденський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протокол (регламент) про класи дипломатичних агентів.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Дещо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пізніше,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21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листопада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1818 року, на Аахенському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конгресі,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відповідним протоколом, у нього були внесені зміни,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проте, у дипломатичній практиці не прижились, у той час як основні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положення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Віденського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протоколу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1815 року згодом стали загальновизнаними нормами дипломатичного права.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Після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Другої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світової війни норми дипломатичного і консульського права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одержали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подальший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розвиток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D38CD" w:rsidRPr="003A5C5D">
        <w:rPr>
          <w:rFonts w:cs="Arial"/>
          <w:sz w:val="28"/>
          <w:szCs w:val="28"/>
          <w:lang w:val="uk-UA"/>
        </w:rPr>
        <w:t>Були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кодифіковані в ряді багатосторонніх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конвенцій,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насамперед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Віденській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конвенції про дипломатичні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зносини 1961 року і Віденської конвенції про консульські зносини 1963 року.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Під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дипломатичним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правом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слід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розуміти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сукупність встановлюваних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результаті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угоди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забезпечуваних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суб'єктами міжнародного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принципів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 норм, що виражають волю суб'єктів міжнародного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які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беруть участь у міжнародному спілкуванні, і регулюють діяльність цих суб'єктів із метою підтримки і зміцнення миру і мирного співіснування.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Встановлення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державами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відносин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є свідченням</w:t>
      </w:r>
      <w:r w:rsidR="00CD38C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установлення їх відносин у політичній галузі. На відміну від дипломатичних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відносин,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відносини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мають дуже вузьку сферу дії.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неї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входить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насамперед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офіційна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діяльність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органів зовнішніх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зносин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суб'єкта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 охорони і захисту економічних,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соціальних та інших інтересів самої держави, її громадян і юридичних осіб.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Джерелами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є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міжнародні норми,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містяться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звичаях і договорах міжнародного характеру (політичних,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економічних,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торгових,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консульських),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 регламентах і постановах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конференцій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CD38CD" w:rsidRPr="003A5C5D">
        <w:rPr>
          <w:rFonts w:cs="Arial"/>
          <w:sz w:val="28"/>
          <w:szCs w:val="28"/>
          <w:lang w:val="uk-UA"/>
        </w:rPr>
        <w:t>організацій,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 регулюють дипломатичні,</w:t>
      </w:r>
      <w:r w:rsidR="00CD38C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консульські й інші відносини дипломатичного характеру.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Особливістю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системи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джерел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консульського права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є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те,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неї, поряд із такими джерелами, як міжнародний порядок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договір,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входять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акти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національного законодавства.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Можливість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використання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міжнародно-правового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звичаю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 якості одного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джерел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випливає,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зокрема,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із преамбули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Віденської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конвенції про дипломатичні зносини 1961 року, що містить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положення,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яке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підтверджує,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норми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міжнародного звичаєвого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продовжують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регулювати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питання,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прямо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не передбачені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положеннями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дійсної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Конвенції. Преамбула Віденської конвенції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зносини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1963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року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містить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аналогічне положення.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Сучасний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етап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кодификації дипломатичного і консульського права належить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1949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року,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Комісія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ООН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міжнародного права в числі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перших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питань,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пілягали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кодификації, назвала питання про дипломатичні і консульські відносини між державами.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1958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році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Комісія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склала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проект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статей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«Про дипломатичні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зносини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імунітети»,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 лягли в основу прийнятої в 1961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році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дипломатичній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конференції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Конвенції «Про дипломатичні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зносини».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зразком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цієї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Комісією була зроблена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ко-дификація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звичайних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норм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права, результатом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якої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стало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прийняття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1963 році у Відні Конвенції про консульські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зносини.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Слід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зазначити,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 після цього кодифікаційні роботи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сфері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рамках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міжнародного співтовариства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457823" w:rsidRPr="003A5C5D">
        <w:rPr>
          <w:rFonts w:cs="Arial"/>
          <w:sz w:val="28"/>
          <w:szCs w:val="28"/>
          <w:lang w:val="uk-UA"/>
        </w:rPr>
        <w:t>були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продовжені.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1975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році у Відні була укладена конвенція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представництво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держав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їхніх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відносинах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із міжнародними організаціями універсального характеру.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Незважаючи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існування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функціонування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рамках світового співтовариства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зазначених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універсального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характеру з дипломатичного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світі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існує і діє цілий ряд багатосторонніх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регіонального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характеру,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 регулюють питання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консульського права: Гаванська конвенція 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чиновників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1928 року, Каракаська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конвенція про консульські функції 1911 року, Гаванська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консульських чиновників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1928 року,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Європейська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конвенція про консульські функції 1967 року.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рамках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організацій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універсального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 регіонального характеру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також</w:t>
      </w:r>
      <w:r w:rsidR="001D3960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укладений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ряд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багатосторонніх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міжнародних угод з питання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привілеїв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імунітетів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їхнього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персоналу.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Щодо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ООН, наприклад,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варто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згадати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дві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спеціальні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конвенції: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Конвенцію 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привілеї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імунітети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ООН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1946 року і Конвенцію про привілеї та імунітети спеціалізованих установ ООН 1947 року.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Слід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зазначити,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дипломатичне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не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є статичною галуззю міжнародного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публічного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воно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динамічно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розвивається.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її сферу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все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більше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входить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регулювання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не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тільки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звичаєвих, ординарних умов функціонування дипломатичних представництв, але і питання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екстраординарного характеру. До таких належить, наприклад, проблема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охорони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життя 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здоров'я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представників. З метою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її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врегулювання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рамках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="002A34B4" w:rsidRPr="003A5C5D">
        <w:rPr>
          <w:rFonts w:cs="Arial"/>
          <w:sz w:val="28"/>
          <w:szCs w:val="28"/>
          <w:lang w:val="uk-UA"/>
        </w:rPr>
        <w:t>О</w:t>
      </w:r>
      <w:r w:rsidRPr="003A5C5D">
        <w:rPr>
          <w:rFonts w:cs="Arial"/>
          <w:sz w:val="28"/>
          <w:szCs w:val="28"/>
          <w:lang w:val="uk-UA"/>
        </w:rPr>
        <w:t>ОН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1973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році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була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прийнята Конвенція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запобігання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покарання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злочинів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проти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осіб, що користуються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міжнародним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захистом,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тому числі дипломатичних агентів.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Існує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ряд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так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званих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національних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джерел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 консульського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прийняті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державами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рамках внутрішньо</w:t>
      </w:r>
      <w:r w:rsidR="002A34B4" w:rsidRPr="003A5C5D">
        <w:rPr>
          <w:rFonts w:cs="Arial"/>
          <w:sz w:val="28"/>
          <w:szCs w:val="28"/>
          <w:lang w:val="uk-UA"/>
        </w:rPr>
        <w:t xml:space="preserve"> – </w:t>
      </w:r>
      <w:r w:rsidRPr="003A5C5D">
        <w:rPr>
          <w:rFonts w:cs="Arial"/>
          <w:sz w:val="28"/>
          <w:szCs w:val="28"/>
          <w:lang w:val="uk-UA"/>
        </w:rPr>
        <w:t>державного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права.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Є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такі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джерела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й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Україні.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Це, насамперед,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Конституція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України.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Сюди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ж належать ряд таких нормативних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актів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підза-конного характеру, як, наприклад, Постанова Верховної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Ради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України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«Про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ранги»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1992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року, Положення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представництва України за кордоном 1992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року, Положення про дипломатичні представництва і консульські установи іноземних держав на території України 1993 року, Положення про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порядок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призначення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глав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представництв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України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іноземних державах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при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організаціях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1994 року,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Консульський Статут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України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1994 року,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Положення про торгово-економічну місію в складі дипломатичного представництва України за кордоном 1994 року та ін.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Варто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враховувати,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що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вся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міжнародна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 внутрішньодержавна діяльність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держав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регламентації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дипломатичних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 консульських відносин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повинна відповідати таким основним принципам і нормам: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— закріпленим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у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Конституції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і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законах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держави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(</w:t>
      </w:r>
      <w:r w:rsidR="002A34B4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в</w:t>
      </w:r>
      <w:r w:rsidR="003A5C5D" w:rsidRPr="003A5C5D">
        <w:rPr>
          <w:rFonts w:cs="Arial"/>
          <w:sz w:val="28"/>
          <w:szCs w:val="28"/>
          <w:lang w:val="uk-UA"/>
        </w:rPr>
        <w:t xml:space="preserve"> </w:t>
      </w:r>
      <w:r w:rsidRPr="003A5C5D">
        <w:rPr>
          <w:rFonts w:cs="Arial"/>
          <w:sz w:val="28"/>
          <w:szCs w:val="28"/>
          <w:lang w:val="uk-UA"/>
        </w:rPr>
        <w:t>галузі адміністративного, цивільного, карного, морського права і тлі.);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— міжнародного публічного і міжнародного приватного права;</w:t>
      </w:r>
    </w:p>
    <w:p w:rsid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— дипломатичного і консульського права;</w:t>
      </w:r>
    </w:p>
    <w:p w:rsidR="003A5C5D" w:rsidRPr="003A5C5D" w:rsidRDefault="00114767" w:rsidP="003A5C5D">
      <w:pPr>
        <w:pStyle w:val="t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3A5C5D">
        <w:rPr>
          <w:rFonts w:cs="Arial"/>
          <w:sz w:val="28"/>
          <w:szCs w:val="28"/>
          <w:lang w:val="uk-UA"/>
        </w:rPr>
        <w:t>— а також міжнародно-правовій практиці держав.</w:t>
      </w:r>
      <w:bookmarkStart w:id="0" w:name="_GoBack"/>
      <w:bookmarkEnd w:id="0"/>
    </w:p>
    <w:sectPr w:rsidR="003A5C5D" w:rsidRPr="003A5C5D" w:rsidSect="003A5C5D">
      <w:headerReference w:type="even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310" w:rsidRDefault="00ED0310">
      <w:r>
        <w:separator/>
      </w:r>
    </w:p>
  </w:endnote>
  <w:endnote w:type="continuationSeparator" w:id="0">
    <w:p w:rsidR="00ED0310" w:rsidRDefault="00E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310" w:rsidRDefault="00ED0310">
      <w:r>
        <w:separator/>
      </w:r>
    </w:p>
  </w:footnote>
  <w:footnote w:type="continuationSeparator" w:id="0">
    <w:p w:rsidR="00ED0310" w:rsidRDefault="00ED0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5D" w:rsidRDefault="003A5C5D" w:rsidP="00CD38CD">
    <w:pPr>
      <w:pStyle w:val="a3"/>
      <w:framePr w:wrap="around" w:vAnchor="text" w:hAnchor="margin" w:xAlign="center" w:y="1"/>
      <w:rPr>
        <w:rStyle w:val="a5"/>
      </w:rPr>
    </w:pPr>
  </w:p>
  <w:p w:rsidR="003A5C5D" w:rsidRDefault="003A5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0E4"/>
    <w:rsid w:val="00114767"/>
    <w:rsid w:val="001D3960"/>
    <w:rsid w:val="00255B8B"/>
    <w:rsid w:val="002A34B4"/>
    <w:rsid w:val="002F7359"/>
    <w:rsid w:val="003A5C5D"/>
    <w:rsid w:val="004263B2"/>
    <w:rsid w:val="00457823"/>
    <w:rsid w:val="004C0623"/>
    <w:rsid w:val="007C164C"/>
    <w:rsid w:val="009255D7"/>
    <w:rsid w:val="009D10E4"/>
    <w:rsid w:val="00C44CE2"/>
    <w:rsid w:val="00CC41A0"/>
    <w:rsid w:val="00CD38CD"/>
    <w:rsid w:val="00ED0310"/>
    <w:rsid w:val="00F14EEB"/>
    <w:rsid w:val="00F5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552BBB-175F-4293-AB00-D69196BA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114767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C44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44CE2"/>
    <w:rPr>
      <w:rFonts w:cs="Times New Roman"/>
    </w:rPr>
  </w:style>
  <w:style w:type="paragraph" w:styleId="a6">
    <w:name w:val="footer"/>
    <w:basedOn w:val="a"/>
    <w:link w:val="a7"/>
    <w:uiPriority w:val="99"/>
    <w:rsid w:val="003A5C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A5C5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Криворізький факультет Дніпропетровського державного </vt:lpstr>
    </vt:vector>
  </TitlesOfParts>
  <Company/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Криворізький факультет Дніпропетровського державного </dc:title>
  <dc:subject/>
  <dc:creator>11</dc:creator>
  <cp:keywords/>
  <dc:description/>
  <cp:lastModifiedBy>admin</cp:lastModifiedBy>
  <cp:revision>2</cp:revision>
  <dcterms:created xsi:type="dcterms:W3CDTF">2014-02-22T11:05:00Z</dcterms:created>
  <dcterms:modified xsi:type="dcterms:W3CDTF">2014-02-22T11:05:00Z</dcterms:modified>
</cp:coreProperties>
</file>