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910" w:rsidRDefault="00263910">
      <w:pPr>
        <w:pStyle w:val="10"/>
        <w:spacing w:before="0" w:after="0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263910" w:rsidRDefault="00263910">
      <w:pPr>
        <w:pStyle w:val="10"/>
        <w:spacing w:before="0" w:after="0"/>
        <w:jc w:val="center"/>
        <w:rPr>
          <w:b/>
          <w:sz w:val="28"/>
        </w:rPr>
      </w:pPr>
    </w:p>
    <w:p w:rsidR="00263910" w:rsidRDefault="00263910">
      <w:pPr>
        <w:pStyle w:val="10"/>
        <w:numPr>
          <w:ilvl w:val="0"/>
          <w:numId w:val="5"/>
        </w:numPr>
        <w:spacing w:before="0" w:after="0"/>
        <w:jc w:val="both"/>
        <w:rPr>
          <w:sz w:val="28"/>
        </w:rPr>
      </w:pPr>
      <w:r>
        <w:rPr>
          <w:sz w:val="28"/>
        </w:rPr>
        <w:t>Общие положения ПБУ 14/2000 «Учет нематериальных активов»___________3</w:t>
      </w:r>
    </w:p>
    <w:p w:rsidR="00263910" w:rsidRDefault="00263910">
      <w:pPr>
        <w:pStyle w:val="10"/>
        <w:numPr>
          <w:ilvl w:val="0"/>
          <w:numId w:val="5"/>
        </w:numPr>
        <w:spacing w:before="0" w:after="0"/>
        <w:jc w:val="both"/>
        <w:rPr>
          <w:sz w:val="28"/>
        </w:rPr>
      </w:pPr>
      <w:r>
        <w:rPr>
          <w:sz w:val="28"/>
        </w:rPr>
        <w:t>Амортизация нематериальных активов__________________________________4</w:t>
      </w:r>
    </w:p>
    <w:p w:rsidR="00263910" w:rsidRDefault="00263910">
      <w:pPr>
        <w:pStyle w:val="10"/>
        <w:numPr>
          <w:ilvl w:val="0"/>
          <w:numId w:val="5"/>
        </w:numPr>
        <w:spacing w:before="0" w:after="0"/>
        <w:jc w:val="both"/>
        <w:rPr>
          <w:sz w:val="28"/>
        </w:rPr>
      </w:pPr>
      <w:r>
        <w:rPr>
          <w:sz w:val="28"/>
        </w:rPr>
        <w:t>Деловая репутация___________________________________________________5</w:t>
      </w:r>
    </w:p>
    <w:p w:rsidR="00263910" w:rsidRDefault="00263910">
      <w:pPr>
        <w:pStyle w:val="10"/>
        <w:numPr>
          <w:ilvl w:val="0"/>
          <w:numId w:val="5"/>
        </w:numPr>
        <w:spacing w:before="0" w:after="0"/>
        <w:jc w:val="both"/>
        <w:rPr>
          <w:sz w:val="28"/>
        </w:rPr>
      </w:pPr>
      <w:r>
        <w:rPr>
          <w:sz w:val="28"/>
        </w:rPr>
        <w:t xml:space="preserve">Учет нематериальных активов в соответствии с международными </w:t>
      </w:r>
    </w:p>
    <w:p w:rsidR="00263910" w:rsidRDefault="00263910">
      <w:pPr>
        <w:pStyle w:val="10"/>
        <w:spacing w:before="0" w:after="0"/>
        <w:ind w:left="360"/>
        <w:jc w:val="both"/>
        <w:rPr>
          <w:sz w:val="28"/>
        </w:rPr>
      </w:pPr>
      <w:r>
        <w:rPr>
          <w:sz w:val="28"/>
        </w:rPr>
        <w:t>стандартами________________________________________________________6</w:t>
      </w:r>
    </w:p>
    <w:p w:rsidR="00263910" w:rsidRDefault="00263910">
      <w:pPr>
        <w:pStyle w:val="10"/>
        <w:spacing w:before="0" w:after="0"/>
        <w:ind w:firstLine="284"/>
        <w:jc w:val="both"/>
        <w:rPr>
          <w:sz w:val="28"/>
        </w:rPr>
      </w:pPr>
      <w:r>
        <w:rPr>
          <w:sz w:val="28"/>
        </w:rPr>
        <w:t>Список использованной литературы___________________________________10</w:t>
      </w:r>
    </w:p>
    <w:p w:rsidR="00263910" w:rsidRDefault="00263910">
      <w:pPr>
        <w:pStyle w:val="10"/>
        <w:spacing w:before="0" w:after="0"/>
        <w:jc w:val="center"/>
        <w:rPr>
          <w:b/>
          <w:sz w:val="28"/>
        </w:rPr>
      </w:pPr>
      <w:r>
        <w:rPr>
          <w:b/>
          <w:sz w:val="28"/>
        </w:rPr>
        <w:br w:type="page"/>
        <w:t>1.  ОБЩИЕ  ПОЛОЖЕНИЯ  ПБУ  14\2000</w:t>
      </w:r>
    </w:p>
    <w:p w:rsidR="00263910" w:rsidRDefault="00263910">
      <w:pPr>
        <w:pStyle w:val="10"/>
        <w:spacing w:before="0" w:after="0"/>
        <w:ind w:left="851"/>
        <w:jc w:val="center"/>
        <w:rPr>
          <w:b/>
          <w:sz w:val="28"/>
        </w:rPr>
      </w:pPr>
      <w:r>
        <w:rPr>
          <w:b/>
          <w:sz w:val="28"/>
        </w:rPr>
        <w:t>«УЧЕТ  НЕМАТЕРИАЛЬНЫХ  АКТИВОВ»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Согласно Программе реформирования бухгалтерского учета в соответствии с международными стандартами финансовой отчетности Минфин РФ утвердил 16 октября 2000 года приказом №91н новое Положение по бухгалтерскому учету “Учет нематериальных активов” ПБУ 14/2000. Данное ПБУ разработано с учетом международного стандарта бухгалтерской отчетности 38 “Нематериальные активы” и подлежит применению при составлении бухгалтерской отчетности в 2001 году.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Анализируемый документ регламентирует порядок отражения объектов интеллектуальной собственности (далее - ИС), а также прав пользования земельными участками, природными ресурсами, организационных расходов и деловой репутации в бухгалтерской отчетности организаций.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Существенными новеллами комментируемого документа является порядок отнесения тех или иных объектов ИС к нематериальным активам (далее — НМА), порядок определения первоначальной стоимости НМА, установление помимо указанных в Положении о ведении бухгалтерского учета в РФ №34н дополнительного способа начисления амортизации НМА, более четкая регламентация порядка учета деловой репутации и учета операций по предоставлению права на использование НМА.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Гражданским законодательством (ст. 138 ГК РФ) понятие интеллектуальной собственности трактуется как исключительное право гражданина или юридического лица на результаты интеллектуальной деятельности и приравненные к ним средства индивидуализации юридического лица, продукции, работ, услуг.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К нематериальным активам, в соответствии с принятым ПБУ 14/2000, могут быть отнесены: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– исключительные права патентообладателя на изобретения, промышленные образцы, полезные модели и селекционные достижения;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– исключительные авторские права на программы для ЭВМ и базы данных;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– исключительные права владельца на товарный знак и знак обслуживания, наименований места происхождения товаров;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– имущественное право автора или иного правообладателя на топологии интегральных микросхем;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– деловая репутация организации, а также организационные расходы, которые в соответствии с учредительными документами признаны вкладом в уставный (складочный) капитал организации.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 xml:space="preserve">Причем бухгалтерам следует обратить внимание на то, что в отличие от Положения по бухгалтерскому учету и бухгалтерской отчетности в РФ, ПБУ 14/2000 причисляет к НМА только </w:t>
      </w:r>
      <w:r>
        <w:rPr>
          <w:b/>
          <w:sz w:val="28"/>
        </w:rPr>
        <w:t xml:space="preserve">исключительные </w:t>
      </w:r>
      <w:r>
        <w:rPr>
          <w:sz w:val="28"/>
        </w:rPr>
        <w:t xml:space="preserve">авторские права, а также </w:t>
      </w:r>
      <w:r>
        <w:rPr>
          <w:b/>
          <w:sz w:val="28"/>
        </w:rPr>
        <w:t xml:space="preserve">исключительные </w:t>
      </w:r>
      <w:r>
        <w:rPr>
          <w:sz w:val="28"/>
        </w:rPr>
        <w:t>права патентообладателя и владельца.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Например, организация приобретая бухгалтерскую программу, не получает исключительных прав на ее использование, таким образом, она не вправе учитывать расходы по приобретению программы в составе нематериальных активов. В данной ситуации, рекомендуется использовать счет расходов будущих периодов для равномерного отнесения стоимости программы на себестоимость.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Помимо этого, отнести тот или иной объект к нематериальным активам можно только при одновременном выполнении следующих условий.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В частности НМА представляют собой объекты долгосрочного использования (более 12 месяцев), у которых отсутствует материально-вещественная структура и используются в производственных целях либо для управленческих нужд. В то же время, данный объект можно идентифицировать (выделить, отделить), т. е. у организации имеются в наличии документы, подтверждающие существование самого актива и исключительного права на результаты интеллектуальной деятельности (патенты, свидетельства, другие охранные документы, договор уступки (приобретения) патента, товарного знака и т. п.). Основным признаком НМА, по которому один инвентарный объект идентифицируется от другого, служит выполнение им самостоятельной функции в производственном или управленческом процессе.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Для признания объекта в бухгалтерском учете нематериальным также необходимо, чтобы организацией не предполагалась последующая перепродажа данного имущества и у него была способность приносить организации экономические выгоды (доход) в будущем.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В состав НМА не включают интеллектуальные и деловые качества персонала организации, их квалификацию и способность к труду, поскольку, с одной стороны, могут быть учтены в оплате их труда, а с другой не могут быть отделены от своих носителей и переданы другому пользователю.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</w:p>
    <w:p w:rsidR="00263910" w:rsidRDefault="00263910">
      <w:pPr>
        <w:pStyle w:val="10"/>
        <w:spacing w:before="0" w:after="0"/>
        <w:ind w:firstLine="851"/>
        <w:jc w:val="center"/>
        <w:rPr>
          <w:caps/>
          <w:sz w:val="28"/>
        </w:rPr>
      </w:pPr>
      <w:r>
        <w:rPr>
          <w:b/>
          <w:caps/>
          <w:sz w:val="28"/>
        </w:rPr>
        <w:t>2.  Амортизация  НЕМАТЕРИАЛЬНЫХ  АКТИВОВ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Особое место в комментируемом документе занимают вопросы амортизации НМА. Стоимость объектов НМА погашается полностью в течение срока их полезного использования или периода действия вещного права на них. В 2001 году помимо существовавших способов начисления амортизации (линейный и способ списания стоимости пропорционально объему продукции) возможно начисление амортизации по вновь вводимым объектам НМА способом уменьшаемого остатка.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Если два существовавших способа традиционны для российского бухгалтерского учета, то способ уменьшаемого остатка относительно новый и является одним из ускоренных способов амортизации: в первые годы эксплуатации объект НМА амортизируется интенсивнее. В частности, предлагается годовую сумму амортизации исчислять как произведение остаточной стоимости на начало года и определенной нормы амортизации.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Пример: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Предприятие приобрело НМА за 5000 руб. Срок его использования – 4 года. Предприятие начисляет амортизацию НМА методом уменьшаемого остатка.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Таким образом, годовая норма амортизации НМА будет равна 25 процентам (100% : 4 года).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Приведем порядок начисления амортизации НМА в таблице:</w:t>
      </w: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965"/>
        <w:gridCol w:w="2152"/>
        <w:gridCol w:w="3254"/>
        <w:gridCol w:w="2552"/>
      </w:tblGrid>
      <w:tr w:rsidR="00263910">
        <w:tc>
          <w:tcPr>
            <w:tcW w:w="1965" w:type="dxa"/>
            <w:vAlign w:val="center"/>
          </w:tcPr>
          <w:p w:rsidR="00263910" w:rsidRDefault="00263910">
            <w:pPr>
              <w:pStyle w:val="10"/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PRIVATE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Годы эксплуатации НМА</w:t>
            </w:r>
          </w:p>
        </w:tc>
        <w:tc>
          <w:tcPr>
            <w:tcW w:w="2152" w:type="dxa"/>
            <w:vAlign w:val="center"/>
          </w:tcPr>
          <w:p w:rsidR="00263910" w:rsidRDefault="00263910">
            <w:pPr>
              <w:pStyle w:val="10"/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Остаточная стоимость НМА на начало года (руб.)</w:t>
            </w:r>
          </w:p>
        </w:tc>
        <w:tc>
          <w:tcPr>
            <w:tcW w:w="3254" w:type="dxa"/>
            <w:vAlign w:val="center"/>
          </w:tcPr>
          <w:p w:rsidR="00263910" w:rsidRDefault="00263910">
            <w:pPr>
              <w:pStyle w:val="10"/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Годовая сумма амортизации (руб.)</w:t>
            </w:r>
          </w:p>
        </w:tc>
        <w:tc>
          <w:tcPr>
            <w:tcW w:w="2552" w:type="dxa"/>
            <w:vAlign w:val="center"/>
          </w:tcPr>
          <w:p w:rsidR="00263910" w:rsidRDefault="00263910">
            <w:pPr>
              <w:pStyle w:val="10"/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Остаточная стоимость НМА на конец года (руб.)</w:t>
            </w:r>
          </w:p>
        </w:tc>
      </w:tr>
      <w:tr w:rsidR="00263910">
        <w:tc>
          <w:tcPr>
            <w:tcW w:w="1965" w:type="dxa"/>
            <w:vAlign w:val="center"/>
          </w:tcPr>
          <w:p w:rsidR="00263910" w:rsidRDefault="00263910">
            <w:pPr>
              <w:pStyle w:val="10"/>
              <w:spacing w:before="0" w:after="0"/>
              <w:ind w:firstLine="8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2152" w:type="dxa"/>
            <w:vAlign w:val="center"/>
          </w:tcPr>
          <w:p w:rsidR="00263910" w:rsidRDefault="00263910">
            <w:pPr>
              <w:pStyle w:val="10"/>
              <w:spacing w:before="0" w:after="0"/>
              <w:ind w:firstLine="6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5000 </w:t>
            </w:r>
          </w:p>
        </w:tc>
        <w:tc>
          <w:tcPr>
            <w:tcW w:w="3254" w:type="dxa"/>
            <w:vAlign w:val="center"/>
          </w:tcPr>
          <w:p w:rsidR="00263910" w:rsidRDefault="00263910">
            <w:pPr>
              <w:pStyle w:val="10"/>
              <w:spacing w:before="0" w:after="0"/>
              <w:ind w:firstLine="2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1250 (5000 руб. х 25%) </w:t>
            </w:r>
          </w:p>
        </w:tc>
        <w:tc>
          <w:tcPr>
            <w:tcW w:w="2552" w:type="dxa"/>
            <w:vAlign w:val="center"/>
          </w:tcPr>
          <w:p w:rsidR="00263910" w:rsidRDefault="00263910">
            <w:pPr>
              <w:pStyle w:val="10"/>
              <w:spacing w:before="0" w:after="0"/>
              <w:ind w:firstLine="8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3750 </w:t>
            </w:r>
          </w:p>
        </w:tc>
      </w:tr>
      <w:tr w:rsidR="00263910">
        <w:tc>
          <w:tcPr>
            <w:tcW w:w="1965" w:type="dxa"/>
            <w:vAlign w:val="center"/>
          </w:tcPr>
          <w:p w:rsidR="00263910" w:rsidRDefault="00263910">
            <w:pPr>
              <w:pStyle w:val="10"/>
              <w:spacing w:before="0" w:after="0"/>
              <w:ind w:firstLine="8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2152" w:type="dxa"/>
            <w:vAlign w:val="center"/>
          </w:tcPr>
          <w:p w:rsidR="00263910" w:rsidRDefault="00263910">
            <w:pPr>
              <w:pStyle w:val="10"/>
              <w:spacing w:before="0" w:after="0"/>
              <w:ind w:firstLine="6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3750 </w:t>
            </w:r>
          </w:p>
        </w:tc>
        <w:tc>
          <w:tcPr>
            <w:tcW w:w="3254" w:type="dxa"/>
            <w:vAlign w:val="center"/>
          </w:tcPr>
          <w:p w:rsidR="00263910" w:rsidRDefault="00263910">
            <w:pPr>
              <w:pStyle w:val="10"/>
              <w:spacing w:before="0" w:after="0"/>
              <w:ind w:firstLine="2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938 (3750 руб. х 25%) </w:t>
            </w:r>
          </w:p>
        </w:tc>
        <w:tc>
          <w:tcPr>
            <w:tcW w:w="2552" w:type="dxa"/>
            <w:vAlign w:val="center"/>
          </w:tcPr>
          <w:p w:rsidR="00263910" w:rsidRDefault="00263910">
            <w:pPr>
              <w:pStyle w:val="10"/>
              <w:spacing w:before="0" w:after="0"/>
              <w:ind w:firstLine="8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2812 </w:t>
            </w:r>
          </w:p>
        </w:tc>
      </w:tr>
      <w:tr w:rsidR="00263910">
        <w:tc>
          <w:tcPr>
            <w:tcW w:w="1965" w:type="dxa"/>
            <w:vAlign w:val="center"/>
          </w:tcPr>
          <w:p w:rsidR="00263910" w:rsidRDefault="00263910">
            <w:pPr>
              <w:pStyle w:val="10"/>
              <w:spacing w:before="0" w:after="0"/>
              <w:ind w:firstLine="8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2152" w:type="dxa"/>
            <w:vAlign w:val="center"/>
          </w:tcPr>
          <w:p w:rsidR="00263910" w:rsidRDefault="00263910">
            <w:pPr>
              <w:pStyle w:val="10"/>
              <w:spacing w:before="0" w:after="0"/>
              <w:ind w:firstLine="6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2812 </w:t>
            </w:r>
          </w:p>
        </w:tc>
        <w:tc>
          <w:tcPr>
            <w:tcW w:w="3254" w:type="dxa"/>
            <w:vAlign w:val="center"/>
          </w:tcPr>
          <w:p w:rsidR="00263910" w:rsidRDefault="00263910">
            <w:pPr>
              <w:pStyle w:val="10"/>
              <w:spacing w:before="0" w:after="0"/>
              <w:ind w:firstLine="2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703 (2812 руб. х 25%) </w:t>
            </w:r>
          </w:p>
        </w:tc>
        <w:tc>
          <w:tcPr>
            <w:tcW w:w="2552" w:type="dxa"/>
            <w:vAlign w:val="center"/>
          </w:tcPr>
          <w:p w:rsidR="00263910" w:rsidRDefault="00263910">
            <w:pPr>
              <w:pStyle w:val="10"/>
              <w:spacing w:before="0" w:after="0"/>
              <w:ind w:firstLine="8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2109 </w:t>
            </w:r>
          </w:p>
        </w:tc>
      </w:tr>
      <w:tr w:rsidR="00263910">
        <w:tc>
          <w:tcPr>
            <w:tcW w:w="1965" w:type="dxa"/>
            <w:vAlign w:val="center"/>
          </w:tcPr>
          <w:p w:rsidR="00263910" w:rsidRDefault="00263910">
            <w:pPr>
              <w:pStyle w:val="10"/>
              <w:spacing w:before="0" w:after="0"/>
              <w:ind w:firstLine="8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2152" w:type="dxa"/>
            <w:vAlign w:val="center"/>
          </w:tcPr>
          <w:p w:rsidR="00263910" w:rsidRDefault="00263910">
            <w:pPr>
              <w:pStyle w:val="10"/>
              <w:spacing w:before="0" w:after="0"/>
              <w:ind w:firstLine="6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2109 </w:t>
            </w:r>
          </w:p>
        </w:tc>
        <w:tc>
          <w:tcPr>
            <w:tcW w:w="3254" w:type="dxa"/>
            <w:vAlign w:val="center"/>
          </w:tcPr>
          <w:p w:rsidR="00263910" w:rsidRDefault="00263910">
            <w:pPr>
              <w:pStyle w:val="10"/>
              <w:spacing w:before="0" w:after="0"/>
              <w:ind w:firstLine="2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527 (2109 руб. х 25%) </w:t>
            </w:r>
          </w:p>
        </w:tc>
        <w:tc>
          <w:tcPr>
            <w:tcW w:w="2552" w:type="dxa"/>
            <w:vAlign w:val="center"/>
          </w:tcPr>
          <w:p w:rsidR="00263910" w:rsidRDefault="00263910">
            <w:pPr>
              <w:pStyle w:val="10"/>
              <w:spacing w:before="0" w:after="0"/>
              <w:ind w:firstLine="8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1582 </w:t>
            </w:r>
          </w:p>
        </w:tc>
      </w:tr>
    </w:tbl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Как видно из таблицы, накопленная сумма амортизации меньше первоначальной стоимости НМА. В нашем примере она меньше на 1582 руб. Это — следствие отсутствия основной особенности большинства нелинейных методов, предполагающих понятие “ликвидационная стоимость”. В нашем примере она составила 312,5 (5000-4687,5). К сожалению данное понятие не нашло своего отражения в ПБУ, и что делать с этой суммой, в стандарте также не указано. По нашему мнению, возможно отнесение ее на себестоимость в конце цикла эксплуатации или на финансовый результат.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В комментируемом документе определено, что в течение срока полезного использования нематериальных активов начисление амортизационных отчислений не приостанавливается, кроме случаев консервации организации. Амортизация в течение отчетного года начисляется ежемесячно в размере 1/12 годовой суммы отражается в бухгалтерском учете в том отчетном периоде, к которому они относятся, вне зависимости от результатов деятельности организации в отчетном периоде.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Амортизация по НМА начинают начислять с первого числа месяца, следующего за месяцем принятия этого объекта к бухгалтерскому учету, и начисляется до полного погашения стоимости этого объекта либо выбытия этого объекта с бухгалтерского учета, а прекращается с первого числа месяца, следующего за месяцем полного погашения стоимости этого объекта или списания этого объекта с бухгалтерского учета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В бухгалтерском учете возможно отражение амортизации путем накопления соответствующих сумм на отдельном счете, либо путем уменьшения первоначальной стоимости объекта. Способ уменьшения первоначальной стоимости применяется по таким объектам НМА как организационные расходы и деловая репутация. По всем остальным применяется способ накопления на отдельном счете. Для этих целей применяется регулирующий счет 05 “Амортизация НМА”.</w:t>
      </w:r>
    </w:p>
    <w:p w:rsidR="00263910" w:rsidRDefault="00263910">
      <w:pPr>
        <w:ind w:firstLine="851"/>
        <w:jc w:val="both"/>
        <w:rPr>
          <w:sz w:val="28"/>
        </w:rPr>
      </w:pPr>
    </w:p>
    <w:p w:rsidR="00263910" w:rsidRDefault="00263910">
      <w:pPr>
        <w:pStyle w:val="10"/>
        <w:spacing w:before="0" w:after="0"/>
        <w:ind w:firstLine="851"/>
        <w:jc w:val="center"/>
        <w:rPr>
          <w:caps/>
          <w:sz w:val="28"/>
        </w:rPr>
      </w:pPr>
      <w:r>
        <w:rPr>
          <w:b/>
          <w:caps/>
          <w:sz w:val="28"/>
        </w:rPr>
        <w:t>3.  Деловая  репутация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В соответствии с параграфом 8 главы 30 ГК РФ возможна продажа предприятия в целом, как единый имущественный комплекс. Очевидно, что стоимость любого предприятия, взятого в целом как единый имуществено-хозяйственный комплекс, отлична от совокупной стоимости его активов и пассивов.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Разница между покупной ценой организации и стоимостью по бухгалтерскому балансу всех ее активов и обязательств составляет деловую репутацию организации. Деловая репутация не существует отдельно от предприятия. Это — неотчуждаемые преимущества. Ими нельзя распорядиться отдельно от распоряжения предприятием. Эта черта отличает данный вид активов от всех иных объектов бухгалтерского учета, включая другие виды нематериальных активов.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Объектом бухгалтерского учета и балансового отражения деловая репутация становится только при совершении сделки купли-продажи предприятия, потому что в процессе хозяйственной деятельности события, порождающие рост стоимости предприятия не могут быть выделены и отражены в учете обособленно.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Деловая репутация может быть положительной или отрицательной.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Положительную деловую репутация необходимо рассматривать как надбавку, выплачиваемую покупателем в обеспечение будущей потенциальной доходности приобретенного предприятия. Это означает, что средства, затраченные на приобретение деловой репутации, принесут экономическую выгоду, прибыль в будущем, то есть окупятся. Положительную деловую репутацию следует учитывать в качестве отдельного инвентарного объекта.</w:t>
      </w:r>
    </w:p>
    <w:p w:rsidR="00263910" w:rsidRDefault="00263910">
      <w:pPr>
        <w:pStyle w:val="10"/>
        <w:spacing w:before="0" w:after="0"/>
        <w:ind w:firstLine="851"/>
        <w:jc w:val="both"/>
        <w:rPr>
          <w:sz w:val="28"/>
        </w:rPr>
      </w:pPr>
      <w:r>
        <w:rPr>
          <w:sz w:val="28"/>
        </w:rPr>
        <w:t>Отрицательную деловую репутацию организации следует рассматривать как скидку с цены, предоставляемую покупателю в связи с отсутствием факторов наличия стабильных покупателей, репутации качества, навыков маркетинга и сбыта, деловых связей, опыта управления, уровня квалификации персонала и т. п., и учитывать как доходы будущих периодов.</w:t>
      </w:r>
    </w:p>
    <w:p w:rsidR="00263910" w:rsidRDefault="00263910">
      <w:pPr>
        <w:ind w:firstLine="851"/>
        <w:jc w:val="both"/>
        <w:rPr>
          <w:sz w:val="28"/>
        </w:rPr>
      </w:pPr>
    </w:p>
    <w:p w:rsidR="00263910" w:rsidRDefault="00263910">
      <w:pPr>
        <w:pStyle w:val="a7"/>
      </w:pPr>
      <w:r>
        <w:t>4.  УЧЕТ  НЕМАТЕРИАЛЬНЫХ  АКТИВОВ  В  СООТВЕТСТВИИ  С МЕЖДУНАРОДНЫМИ  СТАНДАРТАМИ</w:t>
      </w:r>
    </w:p>
    <w:p w:rsidR="00263910" w:rsidRDefault="00263910">
      <w:pPr>
        <w:ind w:firstLine="851"/>
        <w:jc w:val="both"/>
        <w:rPr>
          <w:sz w:val="28"/>
        </w:rPr>
      </w:pPr>
    </w:p>
    <w:p w:rsidR="00263910" w:rsidRDefault="00263910">
      <w:pPr>
        <w:ind w:firstLine="851"/>
        <w:jc w:val="both"/>
        <w:rPr>
          <w:sz w:val="28"/>
        </w:rPr>
      </w:pPr>
      <w:r>
        <w:rPr>
          <w:sz w:val="28"/>
        </w:rPr>
        <w:t>В международных стандартах финансовой отчетности учет нематериальных активов регламентируется  МСФО 38 «Нематериальные активы». МСФО 38 применяется ко всем нематериальным активам, кроме тех, которые специально рассматриваются в других МСФО. Примерами являются торговые марки, компьютерное программное обеспечение, лицензии, франшизы и нематериальные активы в процессе разработки.</w:t>
      </w:r>
    </w:p>
    <w:p w:rsidR="00263910" w:rsidRDefault="00263910">
      <w:pPr>
        <w:ind w:firstLine="851"/>
        <w:jc w:val="both"/>
        <w:rPr>
          <w:sz w:val="28"/>
        </w:rPr>
      </w:pPr>
    </w:p>
    <w:p w:rsidR="00263910" w:rsidRDefault="00263910">
      <w:pPr>
        <w:pStyle w:val="1"/>
      </w:pPr>
      <w:r>
        <w:t>Таблица  1</w:t>
      </w:r>
    </w:p>
    <w:p w:rsidR="00263910" w:rsidRDefault="00263910">
      <w:pPr>
        <w:pStyle w:val="2"/>
        <w:rPr>
          <w:b/>
        </w:rPr>
      </w:pPr>
      <w:r>
        <w:rPr>
          <w:b/>
        </w:rPr>
        <w:t xml:space="preserve">Сравнительная таблица учета нематериальных активов </w:t>
      </w:r>
    </w:p>
    <w:p w:rsidR="00263910" w:rsidRDefault="00263910">
      <w:pPr>
        <w:ind w:firstLine="851"/>
        <w:jc w:val="center"/>
        <w:rPr>
          <w:sz w:val="28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0"/>
        <w:gridCol w:w="4963"/>
      </w:tblGrid>
      <w:tr w:rsidR="00263910">
        <w:tc>
          <w:tcPr>
            <w:tcW w:w="4960" w:type="dxa"/>
          </w:tcPr>
          <w:p w:rsidR="00263910" w:rsidRDefault="002639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ПБУ  14/2000</w:t>
            </w:r>
          </w:p>
        </w:tc>
        <w:tc>
          <w:tcPr>
            <w:tcW w:w="4963" w:type="dxa"/>
          </w:tcPr>
          <w:p w:rsidR="00263910" w:rsidRDefault="002639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МСФО  38</w:t>
            </w:r>
          </w:p>
        </w:tc>
      </w:tr>
      <w:tr w:rsidR="00263910">
        <w:trPr>
          <w:cantSplit/>
        </w:trPr>
        <w:tc>
          <w:tcPr>
            <w:tcW w:w="9923" w:type="dxa"/>
            <w:gridSpan w:val="2"/>
          </w:tcPr>
          <w:p w:rsidR="00263910" w:rsidRDefault="00263910">
            <w:pPr>
              <w:pStyle w:val="3"/>
            </w:pPr>
            <w:r>
              <w:t>Критерии  выделения НМА</w:t>
            </w:r>
          </w:p>
        </w:tc>
      </w:tr>
      <w:tr w:rsidR="00263910">
        <w:tc>
          <w:tcPr>
            <w:tcW w:w="4960" w:type="dxa"/>
          </w:tcPr>
          <w:p w:rsidR="00263910" w:rsidRDefault="00263910">
            <w:pPr>
              <w:pStyle w:val="a6"/>
              <w:numPr>
                <w:ilvl w:val="0"/>
                <w:numId w:val="1"/>
              </w:numPr>
              <w:tabs>
                <w:tab w:val="clear" w:pos="1050"/>
                <w:tab w:val="num" w:pos="0"/>
              </w:tabs>
              <w:ind w:left="284" w:hanging="284"/>
            </w:pPr>
            <w:r>
              <w:t>Отсутствие материально-вещест-венной (физической) структуры;</w:t>
            </w:r>
          </w:p>
          <w:p w:rsidR="00263910" w:rsidRDefault="00263910">
            <w:pPr>
              <w:numPr>
                <w:ilvl w:val="0"/>
                <w:numId w:val="1"/>
              </w:numPr>
              <w:tabs>
                <w:tab w:val="clear" w:pos="1050"/>
                <w:tab w:val="num" w:pos="0"/>
              </w:tabs>
              <w:ind w:left="284" w:hanging="284"/>
              <w:jc w:val="both"/>
              <w:rPr>
                <w:sz w:val="28"/>
              </w:rPr>
            </w:pPr>
            <w:r>
              <w:rPr>
                <w:sz w:val="28"/>
              </w:rPr>
              <w:t>возможность идентификации от другого имущества;</w:t>
            </w:r>
          </w:p>
          <w:p w:rsidR="00263910" w:rsidRDefault="00263910">
            <w:pPr>
              <w:numPr>
                <w:ilvl w:val="0"/>
                <w:numId w:val="1"/>
              </w:numPr>
              <w:tabs>
                <w:tab w:val="clear" w:pos="1050"/>
                <w:tab w:val="num" w:pos="0"/>
              </w:tabs>
              <w:ind w:left="284" w:hanging="284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 в производстве продукции, при выполнении работ или оказании услуг либо для управленческих нужд организации;</w:t>
            </w:r>
          </w:p>
          <w:p w:rsidR="00263910" w:rsidRDefault="00263910">
            <w:pPr>
              <w:numPr>
                <w:ilvl w:val="0"/>
                <w:numId w:val="1"/>
              </w:numPr>
              <w:tabs>
                <w:tab w:val="clear" w:pos="1050"/>
                <w:tab w:val="num" w:pos="0"/>
              </w:tabs>
              <w:ind w:left="284" w:hanging="284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 в течение дли-тельного времени (более 12 месяцев);</w:t>
            </w:r>
          </w:p>
          <w:p w:rsidR="00263910" w:rsidRDefault="00263910">
            <w:pPr>
              <w:numPr>
                <w:ilvl w:val="0"/>
                <w:numId w:val="1"/>
              </w:numPr>
              <w:tabs>
                <w:tab w:val="clear" w:pos="1050"/>
                <w:tab w:val="num" w:pos="0"/>
              </w:tabs>
              <w:ind w:left="284" w:hanging="284"/>
              <w:jc w:val="both"/>
              <w:rPr>
                <w:sz w:val="28"/>
              </w:rPr>
            </w:pPr>
            <w:r>
              <w:rPr>
                <w:sz w:val="28"/>
              </w:rPr>
              <w:t>организацией не предполагается последующая перепродажа данного имущества;</w:t>
            </w:r>
          </w:p>
          <w:p w:rsidR="00263910" w:rsidRDefault="00263910">
            <w:pPr>
              <w:numPr>
                <w:ilvl w:val="0"/>
                <w:numId w:val="1"/>
              </w:numPr>
              <w:tabs>
                <w:tab w:val="clear" w:pos="1050"/>
                <w:tab w:val="num" w:pos="0"/>
                <w:tab w:val="num" w:pos="142"/>
              </w:tabs>
              <w:ind w:left="284" w:hanging="284"/>
              <w:jc w:val="both"/>
              <w:rPr>
                <w:sz w:val="28"/>
              </w:rPr>
            </w:pPr>
            <w:r>
              <w:rPr>
                <w:sz w:val="28"/>
              </w:rPr>
              <w:t>способность приносить доход в будущем;</w:t>
            </w:r>
          </w:p>
          <w:p w:rsidR="00263910" w:rsidRDefault="00263910">
            <w:pPr>
              <w:numPr>
                <w:ilvl w:val="0"/>
                <w:numId w:val="1"/>
              </w:numPr>
              <w:tabs>
                <w:tab w:val="clear" w:pos="1050"/>
                <w:tab w:val="num" w:pos="0"/>
                <w:tab w:val="num" w:pos="142"/>
              </w:tabs>
              <w:ind w:left="284" w:hanging="284"/>
              <w:jc w:val="both"/>
              <w:rPr>
                <w:sz w:val="28"/>
              </w:rPr>
            </w:pPr>
            <w:r>
              <w:rPr>
                <w:sz w:val="28"/>
              </w:rPr>
              <w:t>наличие надлежаще оформленных документов, подтверждающих существование самого актива и исключительного права у организации на результаты интеллектуальной деятельности.</w:t>
            </w:r>
          </w:p>
        </w:tc>
        <w:tc>
          <w:tcPr>
            <w:tcW w:w="4963" w:type="dxa"/>
          </w:tcPr>
          <w:p w:rsidR="00263910" w:rsidRDefault="00263910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Идентифицируемость;</w:t>
            </w:r>
          </w:p>
          <w:p w:rsidR="00263910" w:rsidRDefault="00263910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неденежный характер;</w:t>
            </w:r>
          </w:p>
          <w:p w:rsidR="00263910" w:rsidRDefault="00263910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отсутствие физической формы;</w:t>
            </w:r>
          </w:p>
          <w:p w:rsidR="00263910" w:rsidRDefault="00263910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 в производстве или при предоставлении товаров или услуг, для сдачи в аренду другим сторонам или в административных целях;</w:t>
            </w:r>
          </w:p>
          <w:p w:rsidR="00263910" w:rsidRDefault="00263910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вероятность будущих экономических выгод;</w:t>
            </w:r>
          </w:p>
          <w:p w:rsidR="00263910" w:rsidRDefault="00263910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надежная стоимостная оценка актива.</w:t>
            </w:r>
          </w:p>
          <w:p w:rsidR="00263910" w:rsidRDefault="0026391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качестве активов не следует признавать внутренне созданную деловую репутацию, торговые марки, права на публикацию, наименования печатных изданий, списки клиентов и аналогичные по сути статьи.</w:t>
            </w:r>
          </w:p>
        </w:tc>
      </w:tr>
      <w:tr w:rsidR="00263910">
        <w:trPr>
          <w:cantSplit/>
        </w:trPr>
        <w:tc>
          <w:tcPr>
            <w:tcW w:w="9923" w:type="dxa"/>
            <w:gridSpan w:val="2"/>
          </w:tcPr>
          <w:p w:rsidR="00263910" w:rsidRDefault="002639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Оценка НМА</w:t>
            </w:r>
          </w:p>
        </w:tc>
      </w:tr>
      <w:tr w:rsidR="00263910">
        <w:tc>
          <w:tcPr>
            <w:tcW w:w="4960" w:type="dxa"/>
          </w:tcPr>
          <w:p w:rsidR="00263910" w:rsidRDefault="00263910">
            <w:pPr>
              <w:pStyle w:val="a6"/>
              <w:tabs>
                <w:tab w:val="num" w:pos="0"/>
              </w:tabs>
            </w:pPr>
            <w:r>
              <w:t xml:space="preserve">НМА принимаются к бухгалтерскому учету по первоначальной стоимости. </w:t>
            </w:r>
          </w:p>
          <w:p w:rsidR="00263910" w:rsidRDefault="00263910">
            <w:pPr>
              <w:pStyle w:val="a6"/>
              <w:tabs>
                <w:tab w:val="num" w:pos="0"/>
              </w:tabs>
            </w:pPr>
            <w:r>
              <w:t xml:space="preserve">Первоначальная стоимость НМА, приобретенных за плату, определяется как сумма фактических расходов на приобретение за исключением НДС и иных возмещаемых налогов. </w:t>
            </w:r>
          </w:p>
          <w:p w:rsidR="00263910" w:rsidRDefault="00263910">
            <w:pPr>
              <w:tabs>
                <w:tab w:val="num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Не включается в фактические расходы на приобретение, создание немате-риальных активов общехозяйственные и иные аналогичные расходы кроме случаев, когда они непосредственно связаны с приобретением актива.</w:t>
            </w:r>
          </w:p>
        </w:tc>
        <w:tc>
          <w:tcPr>
            <w:tcW w:w="4963" w:type="dxa"/>
          </w:tcPr>
          <w:p w:rsidR="00263910" w:rsidRDefault="0026391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Первоначально нематериальный актив должен быть оценен по себестоимости, вне зависимости от того, был ли он приобретен извне или создан внутри компании. Последующие затраты на НМА признаются в качестве расходов, если они восстанавливают стандартные технические характеристики актива. Их капитализация происходит тогда, когда существует вероятность, что в компанию поступят экономические выгоды, превышающие первоначальные нормы для актива.</w:t>
            </w:r>
          </w:p>
          <w:p w:rsidR="00263910" w:rsidRDefault="0026391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 любому внутреннему проекту, цель которого состоит в создании НМА, необходимо четко различать фазу исследования и фазу разработки. Затраты на исследования признаются в качестве расходов. Затраты на разработку признаются в качестве НМА, когда могут быть представлены все следующие аспекты:</w:t>
            </w:r>
          </w:p>
          <w:p w:rsidR="00263910" w:rsidRDefault="0026391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техническая возможность завершения НМА до стадии его готовности для использования или продажи;</w:t>
            </w:r>
          </w:p>
          <w:p w:rsidR="00263910" w:rsidRDefault="0026391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намерение завершить НМА, его использования или продажи;</w:t>
            </w:r>
          </w:p>
          <w:p w:rsidR="00263910" w:rsidRDefault="0026391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способность использовать или продать НМА;</w:t>
            </w:r>
          </w:p>
          <w:p w:rsidR="00263910" w:rsidRDefault="0026391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то, каким образом НМА будет создавать возможные будущие экономические выгоды;</w:t>
            </w:r>
          </w:p>
          <w:p w:rsidR="00263910" w:rsidRDefault="0026391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наличие соответствующих техни-ческих, финансовых и других ресурсов для завершения разработки, его использования или продажи;</w:t>
            </w:r>
          </w:p>
          <w:p w:rsidR="00263910" w:rsidRDefault="0026391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возможность надежно оценить затраты.</w:t>
            </w:r>
          </w:p>
        </w:tc>
      </w:tr>
      <w:tr w:rsidR="00263910">
        <w:trPr>
          <w:cantSplit/>
        </w:trPr>
        <w:tc>
          <w:tcPr>
            <w:tcW w:w="9923" w:type="dxa"/>
            <w:gridSpan w:val="2"/>
          </w:tcPr>
          <w:p w:rsidR="00263910" w:rsidRDefault="002639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Амортизация  НМА</w:t>
            </w:r>
          </w:p>
        </w:tc>
      </w:tr>
      <w:tr w:rsidR="00263910">
        <w:tc>
          <w:tcPr>
            <w:tcW w:w="4960" w:type="dxa"/>
          </w:tcPr>
          <w:p w:rsidR="00263910" w:rsidRDefault="00263910">
            <w:pPr>
              <w:pStyle w:val="a6"/>
              <w:tabs>
                <w:tab w:val="num" w:pos="0"/>
              </w:tabs>
            </w:pPr>
            <w:r>
              <w:t>Стоимость НМА погашается посредством амортизации.</w:t>
            </w:r>
          </w:p>
          <w:p w:rsidR="00263910" w:rsidRDefault="00263910">
            <w:pPr>
              <w:tabs>
                <w:tab w:val="num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Амортизация НМА производится одним из следующих способов начисления амортизационных отчислений:</w:t>
            </w:r>
          </w:p>
          <w:p w:rsidR="00263910" w:rsidRDefault="0026391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линейный способ;</w:t>
            </w:r>
          </w:p>
          <w:p w:rsidR="00263910" w:rsidRDefault="0026391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способ уменьшаемого остатка;</w:t>
            </w:r>
          </w:p>
          <w:p w:rsidR="00263910" w:rsidRDefault="0026391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способ списания стоимости пропорционально объему продукции (работ). </w:t>
            </w:r>
          </w:p>
          <w:p w:rsidR="00263910" w:rsidRDefault="0026391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Применение одного из способов по группе однородных НМА производится в течение всего их срока полезного использования. </w:t>
            </w:r>
          </w:p>
          <w:p w:rsidR="00263910" w:rsidRDefault="0026391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 НМА, по которым невозможно определить срок полезного исполь-зования, нормы амортизационных отчислений устанавливаются в расчете на 20 лет, но не более срока деятельности организации.</w:t>
            </w:r>
          </w:p>
        </w:tc>
        <w:tc>
          <w:tcPr>
            <w:tcW w:w="4963" w:type="dxa"/>
          </w:tcPr>
          <w:p w:rsidR="00263910" w:rsidRDefault="00263910">
            <w:pPr>
              <w:pStyle w:val="a6"/>
            </w:pPr>
            <w:r>
              <w:t>Амортизация НМА происходит на систематической основе на протяжении наилучше оцененного срока его полезной службы. Существует опровержимое предположение, что срок полезной службы НМА не превысит 20 лет с момента использования данного актива.</w:t>
            </w:r>
          </w:p>
          <w:p w:rsidR="00263910" w:rsidRDefault="00263910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Применяемый метод амортизации должен отражать график потребления компанией экономических выгод от актива. Если такой график не может быть надежно определен, то следует использовать метод равномерного начисления.</w:t>
            </w:r>
          </w:p>
          <w:p w:rsidR="00263910" w:rsidRDefault="0026391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Если предположение о 20-летнем сроке опровергается, НМА следует ежегодно проверять на предмет обесценения, а причины опровержения данного предположения указать. </w:t>
            </w:r>
          </w:p>
        </w:tc>
      </w:tr>
      <w:tr w:rsidR="00263910">
        <w:trPr>
          <w:cantSplit/>
        </w:trPr>
        <w:tc>
          <w:tcPr>
            <w:tcW w:w="9923" w:type="dxa"/>
            <w:gridSpan w:val="2"/>
          </w:tcPr>
          <w:p w:rsidR="00263910" w:rsidRDefault="002639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Раскрытие информации в бухгалтерской отчетности</w:t>
            </w:r>
          </w:p>
        </w:tc>
      </w:tr>
      <w:tr w:rsidR="00263910">
        <w:tc>
          <w:tcPr>
            <w:tcW w:w="4960" w:type="dxa"/>
          </w:tcPr>
          <w:p w:rsidR="00263910" w:rsidRDefault="00263910">
            <w:pPr>
              <w:pStyle w:val="a6"/>
              <w:tabs>
                <w:tab w:val="num" w:pos="0"/>
              </w:tabs>
            </w:pPr>
            <w:r>
              <w:t>В бухгалтерской отчетности отражаются первоначальная стоимость и сумма начисленной амортизации по видам НМА на начало и конец отчетного года, стоимость списания и прироста, иные случаи движения НМА.</w:t>
            </w:r>
          </w:p>
          <w:p w:rsidR="00263910" w:rsidRDefault="00263910">
            <w:pPr>
              <w:tabs>
                <w:tab w:val="num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 составе информации об учетной политике организации в бухгалтерской отчетности подлежит раскрытию, как минимум, информация:</w:t>
            </w:r>
          </w:p>
          <w:p w:rsidR="00263910" w:rsidRDefault="0026391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 способах оценки НМА;</w:t>
            </w:r>
          </w:p>
          <w:p w:rsidR="00263910" w:rsidRDefault="0026391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 принятых организацией сроках полезного использования НМА;</w:t>
            </w:r>
          </w:p>
          <w:p w:rsidR="00263910" w:rsidRDefault="0026391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 способах начисления амортизации;</w:t>
            </w:r>
          </w:p>
          <w:p w:rsidR="00263910" w:rsidRDefault="0026391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 способах отражения в БУ амортизации.</w:t>
            </w:r>
          </w:p>
        </w:tc>
        <w:tc>
          <w:tcPr>
            <w:tcW w:w="4963" w:type="dxa"/>
          </w:tcPr>
          <w:p w:rsidR="00263910" w:rsidRDefault="00263910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Учетная политика:</w:t>
            </w:r>
          </w:p>
          <w:p w:rsidR="00263910" w:rsidRDefault="0026391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основы оценки;</w:t>
            </w:r>
          </w:p>
          <w:p w:rsidR="00263910" w:rsidRDefault="0026391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методы амортизации;</w:t>
            </w:r>
          </w:p>
          <w:p w:rsidR="00263910" w:rsidRDefault="0026391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сроки полезной службы или ставки амортизации.</w:t>
            </w:r>
          </w:p>
          <w:p w:rsidR="00263910" w:rsidRDefault="00263910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Отчет о прибылях и убытках:</w:t>
            </w:r>
          </w:p>
          <w:p w:rsidR="00263910" w:rsidRDefault="0026391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амортизационные отчисления по каждому классу НМА;</w:t>
            </w:r>
          </w:p>
          <w:p w:rsidR="00263910" w:rsidRDefault="0026391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общая сумма затрат на исследования и разработку, признанная в качестве расхода.</w:t>
            </w:r>
          </w:p>
          <w:p w:rsidR="00263910" w:rsidRDefault="00263910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Баланс:</w:t>
            </w:r>
          </w:p>
          <w:p w:rsidR="00263910" w:rsidRDefault="0026391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валовая балансовая стоимость за вычетом накопленной амортизации;</w:t>
            </w:r>
          </w:p>
          <w:p w:rsidR="00263910" w:rsidRDefault="0026391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подробная постатейная сверка изменений в балансовой стоимости на протяжении периода;</w:t>
            </w:r>
          </w:p>
          <w:p w:rsidR="00263910" w:rsidRDefault="00263910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если период амортизации НМА более 20 лет, свидетельство, опровергающее допущение о сроке полезной службы, не превышающем 20 лет и т.д.</w:t>
            </w:r>
          </w:p>
        </w:tc>
      </w:tr>
    </w:tbl>
    <w:p w:rsidR="00263910" w:rsidRDefault="00263910">
      <w:pPr>
        <w:ind w:firstLine="851"/>
        <w:jc w:val="center"/>
        <w:rPr>
          <w:sz w:val="28"/>
        </w:rPr>
      </w:pPr>
    </w:p>
    <w:p w:rsidR="00263910" w:rsidRDefault="00263910">
      <w:pPr>
        <w:ind w:firstLine="851"/>
        <w:jc w:val="center"/>
        <w:rPr>
          <w:sz w:val="28"/>
        </w:rPr>
      </w:pPr>
    </w:p>
    <w:p w:rsidR="00263910" w:rsidRDefault="00263910">
      <w:pPr>
        <w:ind w:firstLine="851"/>
        <w:jc w:val="center"/>
        <w:rPr>
          <w:sz w:val="28"/>
        </w:rPr>
      </w:pPr>
    </w:p>
    <w:p w:rsidR="00263910" w:rsidRDefault="00263910">
      <w:pPr>
        <w:ind w:firstLine="851"/>
        <w:jc w:val="center"/>
        <w:rPr>
          <w:b/>
          <w:sz w:val="28"/>
        </w:rPr>
      </w:pPr>
      <w:r>
        <w:rPr>
          <w:sz w:val="28"/>
        </w:rPr>
        <w:br w:type="page"/>
      </w:r>
      <w:r>
        <w:rPr>
          <w:b/>
          <w:sz w:val="28"/>
        </w:rPr>
        <w:t>СПИСОК  ИСПОЛЬЗОВАННОЙ  ЛИТЕРАТУРЫ</w:t>
      </w:r>
    </w:p>
    <w:p w:rsidR="00263910" w:rsidRDefault="00263910">
      <w:pPr>
        <w:ind w:firstLine="851"/>
        <w:jc w:val="center"/>
        <w:rPr>
          <w:b/>
          <w:sz w:val="28"/>
        </w:rPr>
      </w:pPr>
    </w:p>
    <w:p w:rsidR="00263910" w:rsidRDefault="00263910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Волкова В.М., Лахова Е.В. Международные стандарты бухгалтерского учета. Основные принципы и приемы конвертации. – М.: «Аудитор», 1998. – 72 с.</w:t>
      </w:r>
    </w:p>
    <w:p w:rsidR="00263910" w:rsidRDefault="00263910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Кутер М.И. Бухгалтерский учет: основы теории. – М.: «Экспертное бюро-М», 1997. – 496 с.</w:t>
      </w:r>
    </w:p>
    <w:p w:rsidR="00263910" w:rsidRDefault="00263910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Макальская М.Л., Денисов А.Ю. Самоучитель по бухгалтерскому учету. – М.: «Дело и Сервис», 1998. – 464 с.</w:t>
      </w:r>
    </w:p>
    <w:p w:rsidR="00263910" w:rsidRDefault="00263910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Международный бухгалтерский учет. </w:t>
      </w:r>
      <w:r>
        <w:rPr>
          <w:sz w:val="28"/>
          <w:lang w:val="en-US"/>
        </w:rPr>
        <w:t xml:space="preserve">GAAP и IAS. Справочник бухгалтера от А до Я / Под ред. Матвеева В.М. – М.: </w:t>
      </w:r>
      <w:r>
        <w:rPr>
          <w:sz w:val="28"/>
        </w:rPr>
        <w:t>«</w:t>
      </w:r>
      <w:r>
        <w:rPr>
          <w:sz w:val="28"/>
          <w:lang w:val="en-US"/>
        </w:rPr>
        <w:t>Дело и Сервис</w:t>
      </w:r>
      <w:r>
        <w:rPr>
          <w:sz w:val="28"/>
        </w:rPr>
        <w:t>»</w:t>
      </w:r>
      <w:r>
        <w:rPr>
          <w:sz w:val="28"/>
          <w:lang w:val="en-US"/>
        </w:rPr>
        <w:t xml:space="preserve">, 1998г. – 192 с. </w:t>
      </w:r>
      <w:bookmarkStart w:id="0" w:name="_GoBack"/>
      <w:bookmarkEnd w:id="0"/>
    </w:p>
    <w:sectPr w:rsidR="00263910">
      <w:headerReference w:type="even" r:id="rId7"/>
      <w:headerReference w:type="default" r:id="rId8"/>
      <w:pgSz w:w="11906" w:h="16838"/>
      <w:pgMar w:top="851" w:right="567" w:bottom="1134" w:left="1418" w:header="454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910" w:rsidRDefault="00263910">
      <w:r>
        <w:separator/>
      </w:r>
    </w:p>
  </w:endnote>
  <w:endnote w:type="continuationSeparator" w:id="0">
    <w:p w:rsidR="00263910" w:rsidRDefault="0026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910" w:rsidRDefault="00263910">
      <w:r>
        <w:separator/>
      </w:r>
    </w:p>
  </w:footnote>
  <w:footnote w:type="continuationSeparator" w:id="0">
    <w:p w:rsidR="00263910" w:rsidRDefault="0026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910" w:rsidRDefault="00263910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263910" w:rsidRDefault="0026391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910" w:rsidRDefault="004C0BBD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3</w:t>
    </w:r>
  </w:p>
  <w:p w:rsidR="00263910" w:rsidRDefault="0026391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61BE4"/>
    <w:multiLevelType w:val="singleLevel"/>
    <w:tmpl w:val="86C01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21E868A6"/>
    <w:multiLevelType w:val="singleLevel"/>
    <w:tmpl w:val="C8C48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28451C3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0686FBB"/>
    <w:multiLevelType w:val="singleLevel"/>
    <w:tmpl w:val="889671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57EB2204"/>
    <w:multiLevelType w:val="singleLevel"/>
    <w:tmpl w:val="43F46F1E"/>
    <w:lvl w:ilvl="0">
      <w:start w:val="1"/>
      <w:numFmt w:val="decimal"/>
      <w:lvlText w:val="%1)"/>
      <w:lvlJc w:val="left"/>
      <w:pPr>
        <w:tabs>
          <w:tab w:val="num" w:pos="1050"/>
        </w:tabs>
        <w:ind w:left="1050" w:hanging="1050"/>
      </w:pPr>
      <w:rPr>
        <w:rFonts w:hint="default"/>
      </w:rPr>
    </w:lvl>
  </w:abstractNum>
  <w:abstractNum w:abstractNumId="5">
    <w:nsid w:val="66D009B6"/>
    <w:multiLevelType w:val="singleLevel"/>
    <w:tmpl w:val="61545B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0BBD"/>
    <w:rsid w:val="00263910"/>
    <w:rsid w:val="002D4C3A"/>
    <w:rsid w:val="004C0BBD"/>
    <w:rsid w:val="00D5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38C92-F535-48DB-B003-12A7EE46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851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851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pPr>
      <w:spacing w:before="100" w:after="100"/>
    </w:pPr>
    <w:rPr>
      <w:snapToGrid w:val="0"/>
      <w:sz w:val="24"/>
    </w:rPr>
  </w:style>
  <w:style w:type="paragraph" w:customStyle="1" w:styleId="H4">
    <w:name w:val="H4"/>
    <w:basedOn w:val="10"/>
    <w:next w:val="10"/>
    <w:pPr>
      <w:keepNext/>
      <w:outlineLvl w:val="4"/>
    </w:pPr>
    <w:rPr>
      <w:b/>
    </w:rPr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jc w:val="both"/>
    </w:pPr>
    <w:rPr>
      <w:sz w:val="28"/>
    </w:rPr>
  </w:style>
  <w:style w:type="paragraph" w:styleId="a7">
    <w:name w:val="Body Text Indent"/>
    <w:basedOn w:val="a"/>
    <w:semiHidden/>
    <w:pPr>
      <w:ind w:firstLine="851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2359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Комментарий к ПБУ 14/2000 “Учет нематериальных активов”</vt:lpstr>
    </vt:vector>
  </TitlesOfParts>
  <Company>EEA</Company>
  <LinksUpToDate>false</LinksUpToDate>
  <CharactersWithSpaces>15775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Комментарий к ПБУ 14/2000 “Учет нематериальных активов”</dc:title>
  <dc:subject/>
  <dc:creator>EEA</dc:creator>
  <cp:keywords/>
  <cp:lastModifiedBy>Irina</cp:lastModifiedBy>
  <cp:revision>2</cp:revision>
  <cp:lastPrinted>2001-03-08T18:01:00Z</cp:lastPrinted>
  <dcterms:created xsi:type="dcterms:W3CDTF">2014-09-07T10:18:00Z</dcterms:created>
  <dcterms:modified xsi:type="dcterms:W3CDTF">2014-09-07T10:18:00Z</dcterms:modified>
</cp:coreProperties>
</file>