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42" w:rsidRDefault="00E85842">
      <w:pPr>
        <w:pStyle w:val="a8"/>
      </w:pPr>
      <w:r>
        <w:t>МИНИСТЕРСТВО ОБРАЗОВАНИЯ РЕСПУБЛИКИ БЕЛАРУСЬ</w:t>
      </w:r>
    </w:p>
    <w:p w:rsidR="00E85842" w:rsidRDefault="00E85842">
      <w:pPr>
        <w:jc w:val="center"/>
        <w:rPr>
          <w:sz w:val="28"/>
        </w:rPr>
      </w:pPr>
      <w:r>
        <w:rPr>
          <w:sz w:val="28"/>
        </w:rPr>
        <w:t xml:space="preserve">УЧРЕЖДЕНИЕ ОБРАЗОВАНИЯ «ГРОДНЕНСКИЙ </w:t>
      </w:r>
    </w:p>
    <w:p w:rsidR="00E85842" w:rsidRDefault="00E85842">
      <w:pPr>
        <w:jc w:val="center"/>
        <w:rPr>
          <w:sz w:val="28"/>
        </w:rPr>
      </w:pPr>
      <w:r>
        <w:rPr>
          <w:sz w:val="28"/>
        </w:rPr>
        <w:t>ГОСУДАРСТВЕННЫЙ УНИВЕРСИТЕТ им. Я.КУПАЛЫ»</w:t>
      </w:r>
    </w:p>
    <w:p w:rsidR="00E85842" w:rsidRDefault="00E85842">
      <w:pPr>
        <w:jc w:val="center"/>
        <w:rPr>
          <w:sz w:val="28"/>
        </w:rPr>
      </w:pPr>
      <w:r>
        <w:rPr>
          <w:sz w:val="28"/>
        </w:rPr>
        <w:t>ФАКУЛЬТЕТ ЭКОНОМИКИ И УПРАВЛЕНИЯ</w:t>
      </w:r>
    </w:p>
    <w:p w:rsidR="00E85842" w:rsidRDefault="00E85842">
      <w:pPr>
        <w:jc w:val="center"/>
        <w:rPr>
          <w:sz w:val="28"/>
        </w:rPr>
      </w:pPr>
      <w:r>
        <w:rPr>
          <w:sz w:val="28"/>
        </w:rPr>
        <w:t>КАФЕДРА МЕЖДУНАРОДНЫХ ЭКОНОМИЧЕСКИХ ОТНОШЕНИЙ</w:t>
      </w: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  <w:r>
        <w:rPr>
          <w:sz w:val="26"/>
        </w:rPr>
        <w:t>СВОБОДНЫЕ ЭКОНОМИЧЕСКИЕ ЗОНЫ КИТАЯ</w:t>
      </w: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  <w:r>
        <w:rPr>
          <w:sz w:val="26"/>
        </w:rPr>
        <w:t>РЕФЕРАТ</w:t>
      </w: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jc w:val="center"/>
        <w:rPr>
          <w:sz w:val="26"/>
        </w:rPr>
      </w:pPr>
    </w:p>
    <w:p w:rsidR="00E85842" w:rsidRDefault="00E85842">
      <w:pPr>
        <w:rPr>
          <w:sz w:val="28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E85842" w:rsidRDefault="00E85842">
      <w:pPr>
        <w:rPr>
          <w:sz w:val="28"/>
        </w:rPr>
      </w:pPr>
    </w:p>
    <w:p w:rsidR="00E85842" w:rsidRDefault="00E85842">
      <w:pPr>
        <w:rPr>
          <w:sz w:val="28"/>
        </w:rPr>
      </w:pPr>
    </w:p>
    <w:p w:rsidR="00E85842" w:rsidRDefault="00E85842">
      <w:pPr>
        <w:rPr>
          <w:sz w:val="28"/>
        </w:rPr>
      </w:pPr>
    </w:p>
    <w:p w:rsidR="00E85842" w:rsidRDefault="00E85842">
      <w:pPr>
        <w:rPr>
          <w:sz w:val="28"/>
        </w:rPr>
      </w:pPr>
    </w:p>
    <w:p w:rsidR="00E85842" w:rsidRDefault="00E85842">
      <w:pPr>
        <w:rPr>
          <w:sz w:val="28"/>
        </w:rPr>
      </w:pPr>
    </w:p>
    <w:p w:rsidR="00E85842" w:rsidRDefault="00E85842">
      <w:pPr>
        <w:rPr>
          <w:sz w:val="28"/>
        </w:rPr>
      </w:pPr>
    </w:p>
    <w:p w:rsidR="00E85842" w:rsidRDefault="00E85842">
      <w:pPr>
        <w:pStyle w:val="3"/>
      </w:pPr>
      <w:r>
        <w:t>Гродно 2003</w:t>
      </w:r>
    </w:p>
    <w:p w:rsidR="00E85842" w:rsidRDefault="00E85842">
      <w:pPr>
        <w:rPr>
          <w:sz w:val="28"/>
        </w:rPr>
      </w:pPr>
    </w:p>
    <w:p w:rsidR="00E85842" w:rsidRDefault="00E85842">
      <w:pPr>
        <w:pStyle w:val="a3"/>
        <w:spacing w:line="360" w:lineRule="auto"/>
        <w:rPr>
          <w:szCs w:val="26"/>
        </w:rPr>
        <w:sectPr w:rsidR="00E8584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lastRenderedPageBreak/>
        <w:t>Китай – это огромная по территории страна, занимающая первое место в мире по числу жителей (1,2 млрд. чел), обладающая самыми значительными в мире минеральными ресурсами, КНР в 80 –90 гг. добилась больших успехов в развитии экономики, выйдя на второе место в мире (после США) по общей стоимости ВВП. Вскоре после смерти Мао Цзедуна в КНР был провозглашен курс на экономическую реформу («ГАЙГЭ»). Основой преобразований стали: внедрение многоукладной экономики; реформа ценообразования (введены 3 уровня цен: твердые государственные, подвижные договорные и свободные рыночные); переход в деревне к системе «договорного» подряда; политика «открытых дверей» и др.</w:t>
      </w:r>
      <w:r>
        <w:rPr>
          <w:b/>
          <w:bCs/>
          <w:szCs w:val="26"/>
        </w:rPr>
        <w:t xml:space="preserve"> [2, с.22]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>Составной частью экономических реформ Китая стала «политика открытости» («Кайфан»). Это политика привлечения иностранного капитала в китайскую экономику в виде займов, прямых инвестиций, организации СП с зарубежными партнерами и привлечение капитала через СЭЗ.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 xml:space="preserve">Первая </w:t>
      </w:r>
      <w:r>
        <w:rPr>
          <w:b/>
          <w:bCs/>
          <w:i/>
          <w:iCs/>
          <w:szCs w:val="26"/>
        </w:rPr>
        <w:t>свободная экономическая зона</w:t>
      </w:r>
      <w:r>
        <w:rPr>
          <w:szCs w:val="26"/>
        </w:rPr>
        <w:t xml:space="preserve"> была создана в маленькой деревушке Шэньчжэнь в 1979 г. Менее чем через 10 лет Шэньчжэнь превратилась в современный город с населением в 2 млн. чел., а в 1990 г. там уже действовало свыше 3000 предприятий с участием иностранного капитала, причем около 2000 из них были совместными иностранно-китайскими, а 354 – полностью иностранными. </w:t>
      </w:r>
      <w:r>
        <w:rPr>
          <w:b/>
          <w:bCs/>
          <w:szCs w:val="26"/>
        </w:rPr>
        <w:t>[1, с.135]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Главными </w:t>
      </w:r>
      <w:r>
        <w:rPr>
          <w:b/>
          <w:bCs/>
          <w:szCs w:val="26"/>
          <w:u w:val="single"/>
        </w:rPr>
        <w:t>особенностями</w:t>
      </w:r>
      <w:r>
        <w:rPr>
          <w:szCs w:val="26"/>
        </w:rPr>
        <w:t xml:space="preserve"> китайских СЭЗ являются: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Самостоятельное экономическое развитие на основе принципов рыночного регулирования.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Опора на иностранные капиталовложения. Этот принцип декларируется, но реализовать его пока не удалось. Так, за 80-е гг. в Шэньчжэне бюджетные ассигнования составили 10% всех инвестиций, средства центральных и провинциальных ведомств, а также китайских предприятий - 7%, накопления самой зоны - 37%, внутренние кредиты - 22%, иностранные капиталовложения - 24%.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Главный современный отраслевой приоритет - промышленность (до 1989 г. Китай шел практически на любые иностранные инвестиции в СЭЗ).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Экспортная ориентация производства, широкое привлечение импортного сырья.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>Включение обширных национальных регионов.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Активное взаимодействие СЭЗ с остальной территорией страны. </w:t>
      </w:r>
    </w:p>
    <w:p w:rsidR="00E85842" w:rsidRDefault="00E85842">
      <w:pPr>
        <w:pStyle w:val="a3"/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Налоговая система дифференцирована по региональным особенностям СЭЗ. </w:t>
      </w:r>
      <w:r>
        <w:rPr>
          <w:b/>
          <w:bCs/>
          <w:szCs w:val="26"/>
        </w:rPr>
        <w:t>[1, с.160], [6]</w:t>
      </w:r>
    </w:p>
    <w:p w:rsidR="00E85842" w:rsidRDefault="00E85842">
      <w:pPr>
        <w:pStyle w:val="a3"/>
        <w:spacing w:line="360" w:lineRule="auto"/>
        <w:rPr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Основные </w:t>
      </w:r>
      <w:r>
        <w:rPr>
          <w:b/>
          <w:bCs/>
          <w:szCs w:val="26"/>
          <w:u w:val="single"/>
        </w:rPr>
        <w:t xml:space="preserve">цели </w:t>
      </w:r>
      <w:r>
        <w:rPr>
          <w:szCs w:val="26"/>
        </w:rPr>
        <w:t>создания СЭЗ: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привлечение иностранного капитала, передовой техники и технологии, овладение опытом управления, подготовка национальных кадров;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увеличение экспортной валютной выручки;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стимулирование реформы, предварительная "обкатка" ее мероприятий;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эффективное использование природных ресурсов;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стимулирование развития экономики страны в целом, передача передовой зарубежной технологии и опыта управления во внутренние районы страны;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создание "буферов" в связи с возвращением Гонконга (1997 г.) и Макао (1999 г.);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мобилизация финансовых возможностей китайской эмиграции; </w:t>
      </w:r>
    </w:p>
    <w:p w:rsidR="00E85842" w:rsidRDefault="00E85842">
      <w:pPr>
        <w:pStyle w:val="a3"/>
        <w:numPr>
          <w:ilvl w:val="1"/>
          <w:numId w:val="2"/>
        </w:numPr>
        <w:tabs>
          <w:tab w:val="clear" w:pos="214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обеспечение ускоренного развития тех регионов страны, где находятся спецзоны всех типов </w:t>
      </w:r>
      <w:r>
        <w:rPr>
          <w:b/>
          <w:bCs/>
          <w:szCs w:val="26"/>
        </w:rPr>
        <w:t>[6]</w:t>
      </w:r>
    </w:p>
    <w:p w:rsidR="00E85842" w:rsidRDefault="00E85842">
      <w:pPr>
        <w:pStyle w:val="a3"/>
        <w:spacing w:line="360" w:lineRule="auto"/>
        <w:rPr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На развитие СЭЗ Китая оказали благоприятное воздействие как объективные факторы: дешевизна и избыток рабочей силы; благоприятное географическое положение (выход к морю, наличие портов), близость Гонконга, Макао и Тайваня; на Хайнане - наличие благоприятных природных ресурсов для развития туризма, металлургии, тропического земледелия; так и субъективные: курс на реформы и открытость, взятый с 1978 г.; юридические гарантии для иностранного капитала; экономические льготы; приток ресурсов со всей страны для развития зон.</w:t>
      </w:r>
    </w:p>
    <w:p w:rsidR="00E85842" w:rsidRDefault="00E85842">
      <w:pPr>
        <w:pStyle w:val="a3"/>
        <w:spacing w:line="360" w:lineRule="auto"/>
        <w:rPr>
          <w:szCs w:val="26"/>
        </w:rPr>
      </w:pPr>
    </w:p>
    <w:p w:rsidR="00E85842" w:rsidRDefault="00E85842">
      <w:pPr>
        <w:pStyle w:val="a3"/>
        <w:spacing w:line="36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Специальные экономические зоны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К началу 2002 г. в Китае было 6 специальных экономических зон, более 30 государственных зон экономического и технического развития, 14 открытых портов, а так же иные зоны свободной торговли, таможенные пространства, районы и территории, имеющие специальный налоговый и торговый статус. СЭЗ являются наиболее экономически развитыми регионами страны. 4 из 6 СЭЗ расположены на юго-восточном побережье.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СЭЗ Шэньчжэнь включает 17,5 тыс. предприятий с общим объемом инвестиций в $22,4 млрд., из которых 85% приходится на Гонконг. Основные сферы инвестирования: ядерная энергетика, электроника, машиностроение, инфраструктура, финансы, высокие технологии. Объем экспорта промышленной продукции в 1999 г. - $7,5 мрлд. 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СЭЗ Чжухай насчитывает около 4980 предприятий с иностранными инвестициями. Вложения направлены в сферу услуг, тяжелую промышленность, электронику, портовое и дорожное строительство и т.д. 80% капиталла – инвестиции из Гонконга, Макао, Тайваня и Сингапура.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СЭЗ Сямэнь – 4150 предприятий с иностранным капиталом на сумму $15 млрд., из которых 80% - из Тайваня. Основные отрасли инвестирования – электроника, текстиль, пищевая промышленность, химическая промышленность.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СЭЗ Шаньтоу – более 3000 проектов с участием иностранного капитала в облшасти нефтехимии, портовой и др. инфраструктуры, производства одежды, обуви и электроники. Обем иностранных инвестиций - $3,5 млрд., из которых 95% поступают от китайских соотечественников в Гонконге, Тайване, Сингапуре.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СЭЗ Хайнань – 7320 предприятий, совокупный объем заявленных инвестиций - $22,3 млрд.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 xml:space="preserve">СЭЗ Пудун (начало 90-х гг., составная часть Шанхая)– 5405 проектов в автомобилестроении, электронике, приборостроении, телекоммуникациях, высоких технологиях, энергетике на сумму инвестиций $27,3 млрд. </w:t>
      </w:r>
      <w:r>
        <w:rPr>
          <w:b/>
          <w:bCs/>
          <w:szCs w:val="26"/>
        </w:rPr>
        <w:t>[3, с.56]</w:t>
      </w:r>
    </w:p>
    <w:p w:rsidR="00E85842" w:rsidRDefault="00E85842">
      <w:pPr>
        <w:pStyle w:val="a3"/>
        <w:spacing w:line="36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«Открытые» города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В 1984 г. было принято решение об «открытии» 14 городов-портов на побережье Желтого, Восточно-Китайского и Южно-Китайского морей. Фактически – это территории с 20-ти млн. населением включают в себя весь приморский пояс страны и значительно распространяются в глубину материковых районов.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Эти 14 городов, открытых для мирового рынка и интернационализации производства не относились к бедствующим районам с самого начала. Они давали 23% всего промышленного производства Китая, а их доля в экспорте страны составляла 40%, суммарная мощность этих портов – 97%, как видно, этот вид СЭЗ был создан в индустриально развитой полосе Китая. . </w:t>
      </w:r>
      <w:r>
        <w:rPr>
          <w:b/>
          <w:bCs/>
          <w:szCs w:val="26"/>
        </w:rPr>
        <w:t>[1, с.139]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В открытых районах с льготным режимом хозяйственной деятельности размещены технопарки (15), разрабатываются новейшие технологии с участием иностранного капитала, функционирует экспортоориентированное производство, активно работают торговые предприятия. Практически, «открытые» города можно назвать комплексными зонами. На обустройство этих территорий были затрачены огромные средства, примерно $15 – 17 млн. на каждый га зоны.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 xml:space="preserve">Приморские «открытые» города ориентированы на развитие прибрежных и внутренних регионов Китая. В них действуют значительные налоговые льготы (например, подоходный налог для предприятий высоких технологий равен 15%, подоходный налог на дивиденды, проценты, рентные платежи, роялти из открытых городов для иностранных инвесторов– 10% и др.). </w:t>
      </w:r>
      <w:r>
        <w:rPr>
          <w:b/>
          <w:bCs/>
          <w:szCs w:val="26"/>
        </w:rPr>
        <w:t>[1, с.141]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«Открытые» порты получили значительные свободы в проведении экономической политики. Им можно, например, принимать законодательные акты, регулирующие поток иностранного капитала, в том числе и части дополнительных льгот или ограничений подоходного налога, арендной платы за землю и т.д.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 xml:space="preserve">«Открытые» города-порты дают 40% экспорта и почти 100% грузооборота морских портов. Производительность здесь на 2/3 выше среднекитайского уровня. </w:t>
      </w:r>
      <w:r>
        <w:rPr>
          <w:b/>
          <w:bCs/>
          <w:szCs w:val="26"/>
        </w:rPr>
        <w:t>[1, с.142]</w:t>
      </w:r>
    </w:p>
    <w:p w:rsidR="00E85842" w:rsidRDefault="00E85842">
      <w:pPr>
        <w:pStyle w:val="a3"/>
        <w:spacing w:line="36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Комплексные зоны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К комплексным зонам можно отнести многие СЭЗ. Комплексные зоны Китая имеют собственные административные границы и законодательство.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 xml:space="preserve"> В апреле 1988г. на острове Хайнань была создана специальная зона, или зона комплексного назначения. ЕЕ особенностью было то, что создана она была в одном из самых отсталых районов Китая. Для привлечения инвестиционного капитала была предложена целая система налоговых скидок и льгот в самых различных отраслях (горная, с/х, транспорт, высокие технологии).</w:t>
      </w:r>
      <w:r>
        <w:rPr>
          <w:b/>
          <w:bCs/>
          <w:szCs w:val="26"/>
        </w:rPr>
        <w:t xml:space="preserve"> [1, с.142]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>В начале 90-х гг. в Шанхае создана зона развития «Пудун». В этой зоне действуют: зона свободной торговли, районы финансово-торговой, промышленной и научной специализации. Главные инвесторы – США, Япония, Сингапур, Франция, Канада.</w:t>
      </w:r>
      <w:r>
        <w:rPr>
          <w:b/>
          <w:bCs/>
          <w:szCs w:val="26"/>
        </w:rPr>
        <w:t xml:space="preserve"> [2, с.28]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Однако, с самого начала этого грандиозного эксперимента с Зонами китайские власти отдавали себе отчет в том, что с помощью иностранных инвестиций можно </w:t>
      </w:r>
      <w:r>
        <w:rPr>
          <w:i/>
          <w:szCs w:val="26"/>
        </w:rPr>
        <w:t>поднять</w:t>
      </w:r>
      <w:r>
        <w:rPr>
          <w:szCs w:val="26"/>
        </w:rPr>
        <w:t xml:space="preserve"> экономику страны, но невозможно </w:t>
      </w:r>
      <w:r>
        <w:rPr>
          <w:i/>
          <w:szCs w:val="26"/>
        </w:rPr>
        <w:t>развивать</w:t>
      </w:r>
      <w:r>
        <w:rPr>
          <w:szCs w:val="26"/>
        </w:rPr>
        <w:t xml:space="preserve"> экономику только за счет этих инвестиций. Экономика страны, обескровленная "большими скачками" и "великой культурной революцией", нуждалась не только в притоке капитала, но и в свежих технологиях, позволяющих повысить уровень производства, насытить внутренний рынок и выйти на внешние рынки с конкурентоспособной готовой продукцией. Кроме того, развитие производства за счет иностранных инвестиций и путем импорта технологий должно было не тормозить развитие собственных технологий, а способствовать созданию более передовой, более продвинутой, по сравнению с зарубежными аналогами продукции. Поэтому официальная государственная политика, во-первых - ставила всяческие барьеры на пути импорта в страну устаревших или второстепенных технологий, а во-вторых - всячески стимулировала создание иностранными корпорациями научных и исследовательских центров непосредственно на территории КНР.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Такие признанные авторитеты в области ИТ, как </w:t>
      </w:r>
      <w:r>
        <w:rPr>
          <w:szCs w:val="26"/>
          <w:lang w:val="en-US"/>
        </w:rPr>
        <w:t>Motorola</w:t>
      </w:r>
      <w:r>
        <w:rPr>
          <w:szCs w:val="26"/>
        </w:rPr>
        <w:t xml:space="preserve">, </w:t>
      </w:r>
      <w:r>
        <w:rPr>
          <w:szCs w:val="26"/>
          <w:lang w:val="en-US"/>
        </w:rPr>
        <w:t>IBM</w:t>
      </w:r>
      <w:r>
        <w:rPr>
          <w:szCs w:val="26"/>
        </w:rPr>
        <w:t xml:space="preserve">, </w:t>
      </w:r>
      <w:r>
        <w:rPr>
          <w:szCs w:val="26"/>
          <w:lang w:val="en-US"/>
        </w:rPr>
        <w:t>Lucent</w:t>
      </w:r>
      <w:r>
        <w:rPr>
          <w:szCs w:val="26"/>
        </w:rPr>
        <w:t xml:space="preserve"> </w:t>
      </w:r>
      <w:r>
        <w:rPr>
          <w:szCs w:val="26"/>
          <w:lang w:val="en-US"/>
        </w:rPr>
        <w:t>Technologies</w:t>
      </w:r>
      <w:r>
        <w:rPr>
          <w:szCs w:val="26"/>
        </w:rPr>
        <w:t xml:space="preserve">, </w:t>
      </w:r>
      <w:r>
        <w:rPr>
          <w:szCs w:val="26"/>
          <w:lang w:val="en-US"/>
        </w:rPr>
        <w:t>Hewlett</w:t>
      </w:r>
      <w:r>
        <w:rPr>
          <w:szCs w:val="26"/>
        </w:rPr>
        <w:t>-</w:t>
      </w:r>
      <w:r>
        <w:rPr>
          <w:szCs w:val="26"/>
          <w:lang w:val="en-US"/>
        </w:rPr>
        <w:t>Packard</w:t>
      </w:r>
      <w:r>
        <w:rPr>
          <w:szCs w:val="26"/>
        </w:rPr>
        <w:t xml:space="preserve">, </w:t>
      </w:r>
      <w:r>
        <w:rPr>
          <w:szCs w:val="26"/>
          <w:lang w:val="en-US"/>
        </w:rPr>
        <w:t>Microsoft</w:t>
      </w:r>
      <w:r>
        <w:rPr>
          <w:szCs w:val="26"/>
        </w:rPr>
        <w:t xml:space="preserve">, </w:t>
      </w:r>
      <w:r>
        <w:rPr>
          <w:szCs w:val="26"/>
          <w:lang w:val="en-US"/>
        </w:rPr>
        <w:t>Nokia</w:t>
      </w:r>
      <w:r>
        <w:rPr>
          <w:szCs w:val="26"/>
        </w:rPr>
        <w:t xml:space="preserve">, </w:t>
      </w:r>
      <w:r>
        <w:rPr>
          <w:szCs w:val="26"/>
          <w:lang w:val="en-US"/>
        </w:rPr>
        <w:t>Cisco</w:t>
      </w:r>
      <w:r>
        <w:rPr>
          <w:szCs w:val="26"/>
        </w:rPr>
        <w:t xml:space="preserve">, </w:t>
      </w:r>
      <w:r>
        <w:rPr>
          <w:szCs w:val="26"/>
          <w:lang w:val="en-US"/>
        </w:rPr>
        <w:t>AT</w:t>
      </w:r>
      <w:r>
        <w:rPr>
          <w:szCs w:val="26"/>
        </w:rPr>
        <w:t>&amp;</w:t>
      </w:r>
      <w:r>
        <w:rPr>
          <w:szCs w:val="26"/>
          <w:lang w:val="en-US"/>
        </w:rPr>
        <w:t>T</w:t>
      </w:r>
      <w:r>
        <w:rPr>
          <w:szCs w:val="26"/>
        </w:rPr>
        <w:t xml:space="preserve"> и др. создают в середине 90-х годов в крупнейших городах Китая собственные исследовательские центры, в которых работают и обучаются работе с новейшими технологиями тысячи и десятки тысяч китайских инженерно-технических работников и ученых. Иностранные корпорации не жалеют средств на различные некоммерческие программы, фонды, гранты, щедро финансируют обучение китайских специалистов в ведущих учебных центрах Старого и Нового Света. </w:t>
      </w:r>
      <w:r>
        <w:rPr>
          <w:b/>
          <w:bCs/>
          <w:szCs w:val="26"/>
        </w:rPr>
        <w:t>[5]</w:t>
      </w:r>
    </w:p>
    <w:p w:rsidR="00E85842" w:rsidRDefault="00E85842">
      <w:pPr>
        <w:pStyle w:val="a3"/>
        <w:spacing w:line="360" w:lineRule="auto"/>
        <w:rPr>
          <w:b/>
          <w:bCs/>
          <w:szCs w:val="26"/>
        </w:rPr>
      </w:pPr>
      <w:r>
        <w:rPr>
          <w:szCs w:val="26"/>
        </w:rPr>
        <w:t>Руководство страны еще в 1988 году принимает генеральную программа развития китайкой науки и техники "ФАКЕЛ". Главной целью программы "ФАКЕЛ" является не только развитие национальной науки и техники, но и быстрейшее внедрение в производство передовых отечественных разработок.</w:t>
      </w:r>
      <w:r>
        <w:rPr>
          <w:b/>
          <w:bCs/>
          <w:szCs w:val="26"/>
        </w:rPr>
        <w:t xml:space="preserve"> </w:t>
      </w:r>
      <w:r>
        <w:rPr>
          <w:szCs w:val="26"/>
        </w:rPr>
        <w:t xml:space="preserve">Благодаря государственной поддержке уже в начале 1990 в Китае начали возникать так называемые "Зоны высоких технологий" (технопарки). </w:t>
      </w:r>
      <w:r>
        <w:rPr>
          <w:b/>
          <w:bCs/>
          <w:szCs w:val="26"/>
        </w:rPr>
        <w:t>[5]</w:t>
      </w:r>
    </w:p>
    <w:p w:rsidR="00E85842" w:rsidRDefault="00E85842">
      <w:pPr>
        <w:pStyle w:val="a3"/>
        <w:spacing w:line="36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Технопарки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Сегодня китайским Министерством Науки и Техники декларируется 120 зон освоения высоких и новейших технологий различного уровня, из них 53 – государственного значения. Фактически, технопарки территориально и организационно пересекаются со специальными экономическими зонами. Такое соседство позволяет ученым в парках весьма эффективно взаимодействовать с зарубежными компаниями и участвовать в международном научно-техническом обмене.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Согласно статистике, в парках действует от 14 до 16,5 тысяч предприятий, занятых исследовательской и внедренческой деятельностью. Государственное регулирование деятельности технопарков проявляется, прежде всего, в определении направлений исследований и производства. На протяжении последних нескольких лет такими направлениями были: микроэлектроника, телекоммуникации, биоинженерия и технологии новых материалов. Помимо государственного регулирования - Парки получают от государства еще и серьезные финансовые вливания. </w:t>
      </w:r>
      <w:r>
        <w:rPr>
          <w:b/>
          <w:bCs/>
          <w:szCs w:val="26"/>
        </w:rPr>
        <w:t>[5]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Первым технопарком Китая стала Пекинская экспериментальная зона развития новых технологий (1988г.). Площадь – 100 км</w:t>
      </w:r>
      <w:r>
        <w:rPr>
          <w:szCs w:val="26"/>
          <w:vertAlign w:val="superscript"/>
        </w:rPr>
        <w:t>2</w:t>
      </w:r>
      <w:r>
        <w:rPr>
          <w:szCs w:val="26"/>
        </w:rPr>
        <w:t>, тут функционируют десятки учебных заведений, 130 НИИ и лабораторий, занято более 100 тыс. специалистов.</w:t>
      </w: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>Вторым по величине парком является Наньху, который расположен в г. Шеньян и занимает площадь в 22 км</w:t>
      </w:r>
      <w:r>
        <w:rPr>
          <w:szCs w:val="26"/>
          <w:vertAlign w:val="superscript"/>
        </w:rPr>
        <w:t>2</w:t>
      </w:r>
      <w:r>
        <w:rPr>
          <w:szCs w:val="26"/>
        </w:rPr>
        <w:t>. На территории тахнопарка 12 ВУЗов, 30 НИИ, 210 многопрофильных исследовательских лабораторий, 220 предприятий высокой и новейшей технологии, в числе которых 30 компаний с участием иностранного капитала ($7 млрд.).</w:t>
      </w:r>
    </w:p>
    <w:p w:rsidR="00E85842" w:rsidRDefault="00E85842">
      <w:pPr>
        <w:pStyle w:val="a3"/>
        <w:spacing w:line="360" w:lineRule="auto"/>
        <w:rPr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</w:p>
    <w:p w:rsidR="00E85842" w:rsidRDefault="00E85842">
      <w:pPr>
        <w:pStyle w:val="a3"/>
        <w:spacing w:line="360" w:lineRule="auto"/>
        <w:rPr>
          <w:szCs w:val="26"/>
        </w:rPr>
      </w:pPr>
      <w:r>
        <w:rPr>
          <w:szCs w:val="26"/>
        </w:rPr>
        <w:t xml:space="preserve">Основные </w:t>
      </w:r>
      <w:r>
        <w:rPr>
          <w:b/>
          <w:bCs/>
          <w:szCs w:val="26"/>
          <w:u w:val="single"/>
        </w:rPr>
        <w:t xml:space="preserve">проблемы </w:t>
      </w:r>
      <w:r>
        <w:rPr>
          <w:szCs w:val="26"/>
        </w:rPr>
        <w:t>функционирования СЭЗ в КНР: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Подавляющее большинство вкладов (около 80% иностранных инвестиций) в СЭЗ вложено лицами китайского происхождения, прежде всего из Гонконга. Инвестиции транснациональных корпораций, способных на создание крупномасштабных, технически современных предприятий пока направляются главным образом в другие районы Китая. С этим связан меньший, в сравнении со средним по Китаю, размер инвестиций в одно предприятие.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Невысокий уровень внедряемой зарубежной технологии, низкая квалификация китайской рабочей силы и недостаток специалистов.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Рост издержек на аренду земли и рабочей силы, что влияет на темпы привлечения иностранного капитала. (Создание и содержание СП в СЭЗ обходится в среднем в 5 раз дороже, чем во внутренних районах КНР.)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Бюрократические препоны при создании и функционировании СП.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Дефицит сырья и энергии.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Отсутствие единого закона по СЭЗ. </w:t>
      </w:r>
    </w:p>
    <w:p w:rsidR="00E85842" w:rsidRDefault="00E85842">
      <w:pPr>
        <w:pStyle w:val="a3"/>
        <w:numPr>
          <w:ilvl w:val="0"/>
          <w:numId w:val="5"/>
        </w:numPr>
        <w:tabs>
          <w:tab w:val="clear" w:pos="1429"/>
          <w:tab w:val="num" w:pos="0"/>
        </w:tabs>
        <w:spacing w:line="360" w:lineRule="auto"/>
        <w:ind w:left="0" w:firstLine="709"/>
        <w:rPr>
          <w:szCs w:val="26"/>
        </w:rPr>
      </w:pPr>
      <w:r>
        <w:rPr>
          <w:szCs w:val="26"/>
        </w:rPr>
        <w:t xml:space="preserve">Злоупотребления со стороны инвесторов: китайские организации занижают стоимость госимущества, передаваемого вновь создаваемым СП, иностранные предприниматели до 90% средств вкладывают в виде оборудования (часто устаревшего или низкокачественного) по завышенным ценам; процветает сверхэксплуатация работников СП; более 60% предприятий уклоняются от уплаты налогов. 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  <w:sectPr w:rsidR="00E85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6"/>
        </w:rPr>
        <w:tab/>
      </w:r>
    </w:p>
    <w:p w:rsidR="00E85842" w:rsidRDefault="00E85842">
      <w:pPr>
        <w:pStyle w:val="a3"/>
        <w:tabs>
          <w:tab w:val="left" w:pos="2295"/>
        </w:tabs>
        <w:spacing w:line="36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Заключение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>Рассмотрев все вышеуказанное, можно прийти к выводу, что СЭЗ в Китае получили широкое распространение, развили те города и территории, где они организовывались.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 xml:space="preserve">В 80-е годы СЭЗ позволили КНР, не отказываясь от основ плановой экономики по всей стране, приобрести опыт взаимодействия с мировым рынком, стимулировали перестройку организации внешнеэкономической деятельности страны и реформу экономической системы. В настоящее время, по мнению части ученых-экономистов КНР, «…они в значительной мере утратили свою авангардную роль, а практика и методы их работы нуждаются в существенном обновлении…» </w:t>
      </w:r>
      <w:r>
        <w:rPr>
          <w:b/>
          <w:bCs/>
          <w:szCs w:val="26"/>
        </w:rPr>
        <w:t>[7]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>А вот об утверждениях, что СЭЗ Китая привлекают огромные инвестиции из-за рубежа, можно поспорить. По исследованиям индийских экономистов, в 2002 г. прямые иностранные инвестиции в китайские СЭЗ превысили $50 млрд., однако, от кого они пришли в китайскую экономику? Их значительная часть (по крайней мере 2/3 этих средств) приходится на гонконгский и тайваньский капитал, часть притока вовсе не имеет иностранного происхождения: согласно предположению западных наблюдателей, 25% составляют скрытые формы инвестирования отечественного капитала.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>Сам факт существования СЭЗ вносит разногласия между экспертами Китая. Они критикуют сам принцип предоставления особого экономического, а, частично, и политического, режима тем или иным территориям, рассматривая его как основу регионального лоббизма и угрозу для целостности внутреннего рынка. Внутренние районы Китая также критикуют особый статус СЭЗ, требуя для себя сравнимых с приморскими провинциями льгот, что неприемлемо для центра.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>Со вступлением КНР в ВТО СЭЗ тем более стали рассматриваться все больше с негативной стороны, т.к. они создают условия для нечестной конкуренции.</w:t>
      </w:r>
    </w:p>
    <w:p w:rsidR="00E85842" w:rsidRDefault="00E85842">
      <w:pPr>
        <w:pStyle w:val="a3"/>
        <w:tabs>
          <w:tab w:val="left" w:pos="2295"/>
        </w:tabs>
        <w:spacing w:line="360" w:lineRule="auto"/>
        <w:rPr>
          <w:szCs w:val="26"/>
        </w:rPr>
      </w:pPr>
      <w:r>
        <w:rPr>
          <w:szCs w:val="26"/>
        </w:rPr>
        <w:t>И все же, СЭЗ внесли значительное улучшение в экономическое и социального положение районов их базирования, в зонах гораздо быстрее, чем в среднем по стране, растет занятость населения, уровень жизни и квалификация рабочих и служащих. Пусть это и незначительная часть страны, но, благодаря СЭЗ, Китай смог выйти на мировой рынок и заявить о себе, производить товары с экспортной ориентацией и «ужить» социалистическую направленность страны и рыночные механизмы. А само правительство Китая понимает, что только иностранных инвестиций в СЭЗ не достаточно для развития всей страны.</w:t>
      </w:r>
    </w:p>
    <w:p w:rsidR="00E85842" w:rsidRDefault="00E85842">
      <w:pPr>
        <w:spacing w:line="360" w:lineRule="auto"/>
        <w:ind w:firstLine="709"/>
        <w:rPr>
          <w:sz w:val="28"/>
          <w:szCs w:val="22"/>
        </w:rPr>
        <w:sectPr w:rsidR="00E85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842" w:rsidRDefault="00E85842">
      <w:pPr>
        <w:pStyle w:val="1"/>
        <w:spacing w:line="360" w:lineRule="auto"/>
        <w:ind w:firstLine="709"/>
      </w:pPr>
      <w:r>
        <w:t>Литература</w:t>
      </w:r>
    </w:p>
    <w:p w:rsidR="00E85842" w:rsidRDefault="00E85842">
      <w:pPr>
        <w:spacing w:line="360" w:lineRule="auto"/>
        <w:ind w:firstLine="709"/>
        <w:rPr>
          <w:sz w:val="28"/>
        </w:rPr>
      </w:pP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Я.С.Друзик. Свободные экономические зоны //Мн: 2000, с.132-162;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В.Игнатов, В.Бутов. Свободные экономические зоны //М:1997, с.22-30;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Н.Грачев. Деньги идут, но не во всякую зону //Дело. Восток+Запад. №4, 2001 г., с.55-56;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Оценка индийскими экономистами опыта КНР по созданию СЭЗ //БИКИ №21, 22 февраля 2003 г.;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0"/>
        </w:rPr>
        <w:t xml:space="preserve">И.В.Мажаров. Научно-техническая программа КНР: взгляд в будущее // </w:t>
      </w:r>
      <w:r w:rsidRPr="00BC4823">
        <w:rPr>
          <w:sz w:val="28"/>
        </w:rPr>
        <w:t>http://www.chinadata.khv.ru/scit_ma.htm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Специальные экономические зоны Китая // </w:t>
      </w:r>
      <w:r w:rsidRPr="00BC4823">
        <w:rPr>
          <w:sz w:val="28"/>
        </w:rPr>
        <w:t>http://www.nalogi.net/1997/199708_2.htm</w:t>
      </w:r>
    </w:p>
    <w:p w:rsidR="00E85842" w:rsidRDefault="00E85842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М.Баранов. Специальные экономические зоны Китая // </w:t>
      </w:r>
      <w:r w:rsidRPr="00BC4823">
        <w:rPr>
          <w:sz w:val="28"/>
        </w:rPr>
        <w:t>http://www.chinalaw.ru/CCI/l023.htm</w:t>
      </w:r>
    </w:p>
    <w:p w:rsidR="00E85842" w:rsidRDefault="00E85842">
      <w:pPr>
        <w:spacing w:line="360" w:lineRule="auto"/>
        <w:rPr>
          <w:sz w:val="28"/>
        </w:rPr>
      </w:pPr>
    </w:p>
    <w:p w:rsidR="00E85842" w:rsidRDefault="00E85842">
      <w:pPr>
        <w:spacing w:line="360" w:lineRule="auto"/>
        <w:jc w:val="center"/>
        <w:rPr>
          <w:b/>
          <w:bCs/>
          <w:sz w:val="28"/>
          <w:szCs w:val="22"/>
        </w:rPr>
      </w:pPr>
    </w:p>
    <w:p w:rsidR="00E85842" w:rsidRDefault="00E85842">
      <w:pPr>
        <w:spacing w:line="360" w:lineRule="auto"/>
        <w:jc w:val="both"/>
        <w:rPr>
          <w:sz w:val="28"/>
          <w:szCs w:val="22"/>
        </w:rPr>
        <w:sectPr w:rsidR="00E85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842" w:rsidRDefault="0094494F">
      <w:pPr>
        <w:pStyle w:val="a3"/>
        <w:spacing w:line="360" w:lineRule="auto"/>
        <w:ind w:firstLine="0"/>
        <w:rPr>
          <w:sz w:val="26"/>
          <w:szCs w:val="26"/>
        </w:rPr>
      </w:pPr>
      <w:r>
        <w:rPr>
          <w:noProof/>
          <w:sz w:val="20"/>
          <w:szCs w:val="19"/>
        </w:rPr>
        <w:pict>
          <v:rect id="_x0000_s1099" style="position:absolute;left:0;text-align:left;margin-left:5in;margin-top:-45pt;width:126pt;height:27pt;z-index:251683328" strokecolor="white">
            <v:textbox>
              <w:txbxContent>
                <w:p w:rsidR="00E85842" w:rsidRDefault="00E85842">
                  <w:pPr>
                    <w:pStyle w:val="2"/>
                  </w:pPr>
                  <w:r>
                    <w:t>ПРИЛОЖЕНИЕ 1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68" style="position:absolute;left:0;text-align:left;margin-left:171pt;margin-top:117pt;width:81pt;height:18pt;z-index:251657728" strokecolor="white">
            <v:textbox style="mso-next-textbox:#_x0000_s1068">
              <w:txbxContent>
                <w:p w:rsidR="00E85842" w:rsidRDefault="00E85842">
                  <w:pPr>
                    <w:pStyle w:val="a7"/>
                  </w:pPr>
                  <w:r>
                    <w:t>Паньюньгань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28" style="position:absolute;left:0;text-align:left;margin-left:-36pt;margin-top:-9pt;width:522pt;height:450pt;z-index:-251684352;mso-wrap-edited:f" wrapcoords="-33 0 -33 21600 21633 21600 21633 0 -33 0">
            <v:textbox style="mso-next-textbox:#_x0000_s1028">
              <w:txbxContent>
                <w:p w:rsidR="00E85842" w:rsidRDefault="00E8584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53" style="position:absolute;left:0;text-align:left;margin-left:171pt;margin-top:0;width:1in;height:18pt;z-index:251653632" strokecolor="white">
            <v:textbox style="mso-next-textbox:#_x0000_s1053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Цинькуандо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98" type="#_x0000_t172" style="position:absolute;left:0;text-align:left;margin-left:63pt;margin-top:135pt;width:90pt;height:135pt;z-index:251682304" adj="11166" fillcolor="black">
            <v:shadow color="#868686"/>
            <v:textpath style="font-family:&quot;Arial&quot;;font-size:44pt;font-weight:bold;v-text-kern:t" trim="t" fitpath="t" string="КНР"/>
          </v:shape>
        </w:pict>
      </w:r>
      <w:r>
        <w:rPr>
          <w:noProof/>
          <w:sz w:val="19"/>
          <w:szCs w:val="19"/>
        </w:rPr>
        <w:pict>
          <v:rect id="_x0000_s1096" style="position:absolute;left:0;text-align:left;margin-left:-27pt;margin-top:450pt;width:252pt;height:63pt;z-index:251681280" strokecolor="white">
            <v:textbox>
              <w:txbxContent>
                <w:p w:rsidR="00E85842" w:rsidRDefault="00E85842">
                  <w:pPr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Рисунок 1.</w:t>
                  </w:r>
                  <w:r>
                    <w:rPr>
                      <w:sz w:val="22"/>
                      <w:szCs w:val="22"/>
                    </w:rPr>
                    <w:t xml:space="preserve"> СЭЗ Китая. </w:t>
                  </w:r>
                </w:p>
                <w:p w:rsidR="00E85842" w:rsidRDefault="00E85842">
                  <w:pPr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Источник:</w:t>
                  </w:r>
                  <w:r>
                    <w:rPr>
                      <w:sz w:val="22"/>
                      <w:szCs w:val="22"/>
                    </w:rPr>
                    <w:t xml:space="preserve"> Я.С.Друзик. Свободные экономические зоны, Мн:2000, с. 144</w:t>
                  </w:r>
                </w:p>
              </w:txbxContent>
            </v:textbox>
          </v:rect>
        </w:pict>
      </w: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413.25pt">
            <v:imagedata r:id="rId9" o:title="кит"/>
          </v:shape>
        </w:pict>
      </w:r>
      <w:r>
        <w:rPr>
          <w:noProof/>
          <w:sz w:val="19"/>
          <w:szCs w:val="19"/>
        </w:rPr>
        <w:pict>
          <v:line id="_x0000_s1095" style="position:absolute;left:0;text-align:left;flip:x;z-index:251680256;mso-position-horizontal-relative:text;mso-position-vertical-relative:text" from="261pt,198pt" to="279pt,198pt">
            <v:stroke endarrow="block"/>
          </v:line>
        </w:pict>
      </w:r>
      <w:r>
        <w:rPr>
          <w:noProof/>
          <w:sz w:val="19"/>
          <w:szCs w:val="19"/>
        </w:rPr>
        <w:pict>
          <v:line id="_x0000_s1094" style="position:absolute;left:0;text-align:left;flip:x;z-index:251679232;mso-position-horizontal-relative:text;mso-position-vertical-relative:text" from="4in,1in" to="315pt,90pt">
            <v:stroke endarrow="block"/>
          </v:line>
        </w:pict>
      </w:r>
      <w:r>
        <w:rPr>
          <w:noProof/>
          <w:sz w:val="19"/>
          <w:szCs w:val="19"/>
        </w:rPr>
        <w:pict>
          <v:rect id="_x0000_s1077" style="position:absolute;left:0;text-align:left;margin-left:99pt;margin-top:4in;width:63pt;height:18pt;z-index:251666944;mso-position-horizontal-relative:text;mso-position-vertical-relative:text" strokecolor="white">
            <v:textbox style="mso-next-textbox:#_x0000_s1077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Гуанчжоу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line id="_x0000_s1093" style="position:absolute;left:0;text-align:left;z-index:251678208;mso-position-horizontal-relative:text;mso-position-vertical-relative:text" from="126pt,324pt" to="2in,333pt">
            <v:stroke endarrow="block"/>
          </v:line>
        </w:pict>
      </w:r>
      <w:r>
        <w:rPr>
          <w:noProof/>
          <w:sz w:val="19"/>
          <w:szCs w:val="19"/>
        </w:rPr>
        <w:pict>
          <v:oval id="_x0000_s1043" style="position:absolute;left:0;text-align:left;margin-left:162pt;margin-top:306pt;width:9pt;height:9pt;z-index:251644416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48" style="position:absolute;left:0;text-align:left;margin-left:162pt;margin-top:333pt;width:9pt;height:9pt;z-index:251649536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line id="_x0000_s1089" style="position:absolute;left:0;text-align:left;flip:x y;z-index:251677184;mso-position-horizontal-relative:text;mso-position-vertical-relative:text" from="171pt,342pt" to="198pt,378pt">
            <v:stroke endarrow="block"/>
          </v:line>
        </w:pict>
      </w:r>
      <w:r>
        <w:rPr>
          <w:noProof/>
          <w:sz w:val="19"/>
          <w:szCs w:val="19"/>
        </w:rPr>
        <w:pict>
          <v:rect id="_x0000_s1075" style="position:absolute;left:0;text-align:left;margin-left:207pt;margin-top:369pt;width:54pt;height:18pt;z-index:251664896;mso-position-horizontal-relative:text;mso-position-vertical-relative:text" strokecolor="white">
            <v:textbox style="mso-next-textbox:#_x0000_s1075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Аомынь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0" style="position:absolute;left:0;text-align:left;margin-left:171pt;margin-top:261pt;width:54pt;height:18pt;z-index:251659776;mso-position-horizontal-relative:text;mso-position-vertical-relative:text" strokecolor="white">
            <v:textbox style="mso-next-textbox:#_x0000_s1070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Сямэнь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2" style="position:absolute;left:0;text-align:left;margin-left:189pt;margin-top:225pt;width:63pt;height:18pt;z-index:251661824;mso-position-horizontal-relative:text;mso-position-vertical-relative:text" strokecolor="white">
            <v:textbox style="mso-next-textbox:#_x0000_s1072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Вэньчжоу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3" style="position:absolute;left:0;text-align:left;margin-left:279pt;margin-top:3in;width:54pt;height:18pt;z-index:251662848;mso-position-horizontal-relative:text;mso-position-vertical-relative:text" strokecolor="white">
            <v:textbox style="mso-next-textbox:#_x0000_s1073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Нинбо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4" style="position:absolute;left:0;text-align:left;margin-left:270pt;margin-top:189pt;width:54pt;height:18pt;z-index:251663872;mso-position-horizontal-relative:text;mso-position-vertical-relative:text" strokecolor="white">
            <v:textbox style="mso-next-textbox:#_x0000_s1074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Шанхайь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67" style="position:absolute;left:0;text-align:left;margin-left:4in;margin-top:108pt;width:54pt;height:18pt;z-index:251656704;mso-position-horizontal-relative:text;mso-position-vertical-relative:text" strokecolor="white">
            <v:textbox style="mso-next-textbox:#_x0000_s1067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Циньдвоь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1" style="position:absolute;left:0;text-align:left;margin-left:180pt;margin-top:243pt;width:63pt;height:18pt;z-index:251660800;mso-position-horizontal-relative:text;mso-position-vertical-relative:text" strokecolor="white">
            <v:textbox style="mso-next-textbox:#_x0000_s1071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Фучжоу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oval id="_x0000_s1046" style="position:absolute;left:0;text-align:left;margin-left:243pt;margin-top:252pt;width:9pt;height:9pt;z-index:251647488;mso-position-horizontal-relative:text;mso-position-vertical-relative:text"/>
        </w:pict>
      </w:r>
      <w:r>
        <w:rPr>
          <w:noProof/>
          <w:sz w:val="19"/>
          <w:szCs w:val="19"/>
        </w:rPr>
        <w:pict>
          <v:rect id="_x0000_s1086" style="position:absolute;left:0;text-align:left;margin-left:27pt;margin-top:117pt;width:81pt;height:45pt;z-index:251676160;mso-position-horizontal-relative:text;mso-position-vertical-relative:text" strokecolor="white">
            <v:textbox style="mso-next-textbox:#_x0000_s1086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Специальные экономические зоны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oval id="_x0000_s1085" style="position:absolute;left:0;text-align:left;margin-left:0;margin-top:135pt;width:9pt;height:9pt;z-index:251675136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rect id="_x0000_s1081" style="position:absolute;left:0;text-align:left;margin-left:18pt;margin-top:54pt;width:81pt;height:36pt;z-index:251671040;mso-position-horizontal-relative:text;mso-position-vertical-relative:text" strokecolor="white">
            <v:textbox style="mso-next-textbox:#_x0000_s1081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«открытые» города-порты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oval id="_x0000_s1084" style="position:absolute;left:0;text-align:left;margin-left:0;margin-top:63pt;width:9pt;height:9pt;z-index:251674112;mso-position-horizontal-relative:text;mso-position-vertical-relative:text"/>
        </w:pict>
      </w:r>
      <w:r>
        <w:rPr>
          <w:noProof/>
          <w:sz w:val="19"/>
          <w:szCs w:val="19"/>
        </w:rPr>
        <w:pict>
          <v:rect id="_x0000_s1080" style="position:absolute;left:0;text-align:left;margin-left:90pt;margin-top:306pt;width:54pt;height:18pt;z-index:251670016;mso-position-horizontal-relative:text;mso-position-vertical-relative:text" strokecolor="white">
            <v:textbox style="mso-next-textbox:#_x0000_s1080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Чжухай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83" style="position:absolute;left:0;text-align:left;margin-left:54pt;margin-top:333pt;width:54pt;height:18pt;z-index:251673088;mso-position-horizontal-relative:text;mso-position-vertical-relative:text" strokecolor="white">
            <v:textbox style="mso-next-textbox:#_x0000_s1083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Бэйхай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82" style="position:absolute;left:0;text-align:left;margin-left:171pt;margin-top:387pt;width:63pt;height:18pt;z-index:251672064;mso-position-horizontal-relative:text;mso-position-vertical-relative:text" strokecolor="white">
            <v:textbox style="mso-next-textbox:#_x0000_s1082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о.Хайнань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8" style="position:absolute;left:0;text-align:left;margin-left:189pt;margin-top:333pt;width:1in;height:18pt;z-index:251667968;mso-position-horizontal-relative:text;mso-position-vertical-relative:text" strokecolor="white">
            <v:textbox style="mso-next-textbox:#_x0000_s1078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Шаньчжень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6" style="position:absolute;left:0;text-align:left;margin-left:162pt;margin-top:279pt;width:54pt;height:18pt;z-index:251665920;mso-position-horizontal-relative:text;mso-position-vertical-relative:text" strokecolor="white">
            <v:textbox style="mso-next-textbox:#_x0000_s1076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Шаньтоуь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79" style="position:absolute;left:0;text-align:left;margin-left:4in;margin-top:279pt;width:63pt;height:18pt;z-index:251668992;mso-position-horizontal-relative:text;mso-position-vertical-relative:text" strokecolor="white">
            <v:textbox style="mso-next-textbox:#_x0000_s1079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о.Тайвань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52" style="position:absolute;left:0;text-align:left;margin-left:270pt;margin-top:45pt;width:54pt;height:18pt;z-index:251652608;mso-position-horizontal-relative:text;mso-position-vertical-relative:text" strokecolor="white">
            <v:textbox style="mso-next-textbox:#_x0000_s1052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Дапянь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69" style="position:absolute;left:0;text-align:left;margin-left:189pt;margin-top:162pt;width:54pt;height:18pt;z-index:251658752;mso-position-horizontal-relative:text;mso-position-vertical-relative:text" strokecolor="white">
            <v:textbox style="mso-next-textbox:#_x0000_s1069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Наньгун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65" style="position:absolute;left:0;text-align:left;margin-left:306pt;margin-top:63pt;width:54pt;height:18pt;z-index:251655680;mso-position-horizontal-relative:text;mso-position-vertical-relative:text" strokecolor="white">
            <v:textbox style="mso-next-textbox:#_x0000_s1065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Яньтай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rect id="_x0000_s1064" style="position:absolute;left:0;text-align:left;margin-left:153pt;margin-top:36pt;width:63pt;height:18pt;z-index:251654656;mso-position-horizontal-relative:text;mso-position-vertical-relative:text" strokecolor="white">
            <v:textbox style="mso-next-textbox:#_x0000_s1064">
              <w:txbxContent>
                <w:p w:rsidR="00E85842" w:rsidRDefault="00E85842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Тяньцзань</w:t>
                  </w:r>
                </w:p>
              </w:txbxContent>
            </v:textbox>
          </v:rect>
        </w:pict>
      </w:r>
      <w:r>
        <w:rPr>
          <w:noProof/>
          <w:sz w:val="19"/>
          <w:szCs w:val="19"/>
        </w:rPr>
        <w:pict>
          <v:oval id="_x0000_s1051" style="position:absolute;left:0;text-align:left;margin-left:3in;margin-top:297pt;width:9pt;height:9pt;z-index:251651584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oval id="_x0000_s1042" style="position:absolute;left:0;text-align:left;margin-left:225pt;margin-top:270pt;width:9pt;height:9pt;z-index:251643392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oval id="_x0000_s1047" style="position:absolute;left:0;text-align:left;margin-left:189pt;margin-top:315pt;width:9pt;height:9pt;z-index:251648512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oval id="_x0000_s1049" style="position:absolute;left:0;text-align:left;margin-left:153pt;margin-top:387pt;width:9pt;height:9pt;z-index:251650560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oval id="_x0000_s1044" style="position:absolute;left:0;text-align:left;margin-left:2in;margin-top:333pt;width:9pt;height:9pt;z-index:251645440;mso-position-horizontal-relative:text;mso-position-vertical-relative:text" fillcolor="black"/>
        </w:pict>
      </w:r>
      <w:r>
        <w:rPr>
          <w:noProof/>
          <w:sz w:val="19"/>
          <w:szCs w:val="19"/>
        </w:rPr>
        <w:pict>
          <v:oval id="_x0000_s1045" style="position:absolute;left:0;text-align:left;margin-left:108pt;margin-top:333pt;width:9pt;height:9pt;z-index:251646464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9" style="position:absolute;left:0;text-align:left;margin-left:252pt;margin-top:234pt;width:9pt;height:9pt;z-index:251642368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29" style="position:absolute;left:0;text-align:left;margin-left:261pt;margin-top:225pt;width:9pt;height:9pt;z-index:251633152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0" style="position:absolute;left:0;text-align:left;margin-left:252pt;margin-top:198pt;width:9pt;height:9pt;z-index:251634176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1" style="position:absolute;left:0;text-align:left;margin-left:243pt;margin-top:180pt;width:9pt;height:9pt;z-index:251635200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2" style="position:absolute;left:0;text-align:left;margin-left:243pt;margin-top:135pt;width:9pt;height:9pt;z-index:251636224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4" style="position:absolute;left:0;text-align:left;margin-left:279pt;margin-top:108pt;width:9pt;height:9pt;z-index:251637248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7" style="position:absolute;left:0;text-align:left;margin-left:243pt;margin-top:18pt;width:9pt;height:9pt;z-index:251640320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6" style="position:absolute;left:0;text-align:left;margin-left:3in;margin-top:45pt;width:9pt;height:9pt;z-index:251639296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5" style="position:absolute;left:0;text-align:left;margin-left:279pt;margin-top:90pt;width:9pt;height:9pt;z-index:251638272;mso-position-horizontal-relative:text;mso-position-vertical-relative:text"/>
        </w:pict>
      </w:r>
      <w:r>
        <w:rPr>
          <w:noProof/>
          <w:sz w:val="19"/>
          <w:szCs w:val="19"/>
        </w:rPr>
        <w:pict>
          <v:oval id="_x0000_s1038" style="position:absolute;left:0;text-align:left;margin-left:261pt;margin-top:45pt;width:9pt;height:9pt;z-index:251641344;mso-position-horizontal-relative:text;mso-position-vertical-relative:text"/>
        </w:pict>
      </w:r>
      <w:bookmarkStart w:id="0" w:name="_GoBack"/>
      <w:bookmarkEnd w:id="0"/>
    </w:p>
    <w:sectPr w:rsidR="00E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42" w:rsidRDefault="00E85842">
      <w:r>
        <w:separator/>
      </w:r>
    </w:p>
  </w:endnote>
  <w:endnote w:type="continuationSeparator" w:id="0">
    <w:p w:rsidR="00E85842" w:rsidRDefault="00E8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42" w:rsidRDefault="00E85842">
    <w:pPr>
      <w:pStyle w:val="aa"/>
      <w:framePr w:wrap="around" w:vAnchor="text" w:hAnchor="margin" w:xAlign="right" w:y="1"/>
      <w:rPr>
        <w:rStyle w:val="a9"/>
      </w:rPr>
    </w:pPr>
  </w:p>
  <w:p w:rsidR="00E85842" w:rsidRDefault="00E8584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42" w:rsidRDefault="00BC4823">
    <w:pPr>
      <w:pStyle w:val="aa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E85842" w:rsidRDefault="00E8584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42" w:rsidRDefault="00E85842">
      <w:r>
        <w:separator/>
      </w:r>
    </w:p>
  </w:footnote>
  <w:footnote w:type="continuationSeparator" w:id="0">
    <w:p w:rsidR="00E85842" w:rsidRDefault="00E8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226F"/>
    <w:multiLevelType w:val="hybridMultilevel"/>
    <w:tmpl w:val="8140D3F4"/>
    <w:lvl w:ilvl="0" w:tplc="DA660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E07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AF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0A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28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425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87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6E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43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86576"/>
    <w:multiLevelType w:val="hybridMultilevel"/>
    <w:tmpl w:val="59E8A978"/>
    <w:lvl w:ilvl="0" w:tplc="DE980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3EC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2A0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548D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D835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8A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969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7AD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9A0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229C"/>
    <w:multiLevelType w:val="hybridMultilevel"/>
    <w:tmpl w:val="CF06D0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FFE68FE"/>
    <w:multiLevelType w:val="hybridMultilevel"/>
    <w:tmpl w:val="3E0CC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B463B"/>
    <w:multiLevelType w:val="hybridMultilevel"/>
    <w:tmpl w:val="F6722F50"/>
    <w:lvl w:ilvl="0" w:tplc="95F2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A1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4C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AE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61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AD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0D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62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40E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26F45"/>
    <w:multiLevelType w:val="hybridMultilevel"/>
    <w:tmpl w:val="EFE01F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823"/>
    <w:rsid w:val="001875DF"/>
    <w:rsid w:val="0094494F"/>
    <w:rsid w:val="00BC4823"/>
    <w:rsid w:val="00E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5:chartTrackingRefBased/>
  <w15:docId w15:val="{727DC786-159A-4051-A03A-54CD4802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1C022F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"/>
    <w:basedOn w:val="a"/>
    <w:semiHidden/>
    <w:rPr>
      <w:sz w:val="20"/>
      <w:szCs w:val="17"/>
    </w:rPr>
  </w:style>
  <w:style w:type="paragraph" w:styleId="a8">
    <w:name w:val="Title"/>
    <w:basedOn w:val="a"/>
    <w:qFormat/>
    <w:pPr>
      <w:jc w:val="center"/>
    </w:pPr>
    <w:rPr>
      <w:sz w:val="28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Китай – это огромная по территории страна, занимающая первое место в мире по числу жителей (1,2 млрд</vt:lpstr>
    </vt:vector>
  </TitlesOfParts>
  <Company>DOM</Company>
  <LinksUpToDate>false</LinksUpToDate>
  <CharactersWithSpaces>15954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Китай – это огромная по территории страна, занимающая первое место в мире по числу жителей (1,2 млрд</dc:title>
  <dc:subject/>
  <dc:creator>Bell</dc:creator>
  <cp:keywords/>
  <dc:description/>
  <cp:lastModifiedBy>admin</cp:lastModifiedBy>
  <cp:revision>2</cp:revision>
  <dcterms:created xsi:type="dcterms:W3CDTF">2014-02-07T11:25:00Z</dcterms:created>
  <dcterms:modified xsi:type="dcterms:W3CDTF">2014-02-07T11:25:00Z</dcterms:modified>
</cp:coreProperties>
</file>