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9E" w:rsidRDefault="006751C3">
      <w:pPr>
        <w:pStyle w:val="1"/>
        <w:jc w:val="center"/>
      </w:pPr>
      <w:r>
        <w:t>Влияние гипоосмотической нагрузки на объем клеток и определение мембранного резерва гемоцитов представителей отряда dictyoptera</w:t>
      </w:r>
    </w:p>
    <w:p w:rsidR="007A159E" w:rsidRPr="006751C3" w:rsidRDefault="006751C3">
      <w:pPr>
        <w:pStyle w:val="a3"/>
      </w:pPr>
      <w:r>
        <w:t> </w:t>
      </w:r>
    </w:p>
    <w:p w:rsidR="007A159E" w:rsidRDefault="006751C3">
      <w:pPr>
        <w:pStyle w:val="a3"/>
      </w:pPr>
      <w:r>
        <w:t>А.А. Присный, Е.А. Гребцова</w:t>
      </w:r>
    </w:p>
    <w:p w:rsidR="007A159E" w:rsidRDefault="006751C3">
      <w:pPr>
        <w:pStyle w:val="a3"/>
      </w:pPr>
      <w:r>
        <w:t>Белгородский государственный национальный исследовательский университет</w:t>
      </w:r>
    </w:p>
    <w:p w:rsidR="007A159E" w:rsidRDefault="006751C3">
      <w:pPr>
        <w:pStyle w:val="a3"/>
      </w:pPr>
      <w:r>
        <w:t>Введение</w:t>
      </w:r>
    </w:p>
    <w:p w:rsidR="007A159E" w:rsidRDefault="006751C3">
      <w:pPr>
        <w:pStyle w:val="a3"/>
      </w:pPr>
      <w:r>
        <w:t>Гемолимфа беспозвоночных животных обладает всеми необходимыми функциями, несмотря на простоту организации, и отражает физиологическое состояние животного, а так же эволюционную ступень развития. Разнообразные виды воздействий влияют на насекомых на физиологическом уровне и обусловливают их жизнеспособность. В настоящее время не существует конкретных критериев оценки физиологического состояния насекомых. Возможно изучение влияния стрессоров и их идентификация по морфологическим особенностям, которые иногда являются противоречивыми и обманчивыми. Зачастую невозможно определить, какой именно из множества факторов оказал то или иное воздействие. Чтобы развиваться в этом направлении, у исследователей должна быть точная информация о физиологически и биохимически активных и чувствительных компонентах организма насекомых [1].</w:t>
      </w:r>
    </w:p>
    <w:p w:rsidR="007A159E" w:rsidRDefault="006751C3">
      <w:pPr>
        <w:pStyle w:val="a3"/>
      </w:pPr>
      <w:r>
        <w:t>Наука о гемоцитах обширна и остается неизменно актуальной. Возможность выделять и идентифицировать гемоциты важна для исследований клеточного иммунитета насекомых. Гемоциты, необходимый компонент иммунной системы насекомого, выполняют ряд функций, такие как коагуляция, фагоцитоз и инкапсуляция; синтез и транспорт питательных веществ и гормонов для заживления ран посредством формирования соединительной ткани. Воздействия разнообразных стрессоров на клетки и состояние здоровья насекомых, их практическое и биомедицинское прикладное применения не достаточно изучены [2].</w:t>
      </w:r>
    </w:p>
    <w:p w:rsidR="007A159E" w:rsidRDefault="006751C3">
      <w:pPr>
        <w:pStyle w:val="a3"/>
      </w:pPr>
      <w:r>
        <w:t>Доступна весьма скудная информация о типах гемоцитов насекомых, включая многочисленные виды экономической важности. Ключевой проблемой является небольшой размер многих насекомых, что делает сбор и идентификацию комплекса гемоцитов практически невозможной. Названия типов гемоцитов, которые им дают, иногда отличаются между таксонами, таким образом, что системы классификации и используемые критерии для идентификации гемоцитов в одной группе насекомых, могут полностью не соответствовать другой [3].</w:t>
      </w:r>
    </w:p>
    <w:p w:rsidR="007A159E" w:rsidRDefault="006751C3">
      <w:pPr>
        <w:pStyle w:val="a3"/>
      </w:pPr>
      <w:r>
        <w:t>Авторами ранее проведены исследования и опубликованы данные о морфометрических показателях и типологии гемоцитов различных представителей класса Насекомые [4-5]- Однако информации о мембранных реакциях этих клеток на различные условия среды в доступной литературе не обнаружено.</w:t>
      </w:r>
    </w:p>
    <w:p w:rsidR="007A159E" w:rsidRDefault="006751C3">
      <w:pPr>
        <w:pStyle w:val="a3"/>
      </w:pPr>
      <w:r>
        <w:t>В связи с вышесказанным целью данной работы является изучение влияния гипоосмо- тической нагрузки на объем клеток и определение мембранного резерва гемоцитов некоторых представителей отряда Dictyoptera.</w:t>
      </w:r>
    </w:p>
    <w:p w:rsidR="007A159E" w:rsidRDefault="006751C3">
      <w:pPr>
        <w:pStyle w:val="a3"/>
      </w:pPr>
      <w:r>
        <w:t>Объекты и методы исследования</w:t>
      </w:r>
    </w:p>
    <w:p w:rsidR="007A159E" w:rsidRDefault="006751C3">
      <w:pPr>
        <w:pStyle w:val="a3"/>
      </w:pPr>
      <w:r>
        <w:t>Исследования проведены в течение 2011-2013 годов на базе кафедры анатомии и физиологии живых организмов ФГАОУ ВПО «Белгородский государственный национальный исследовательский университет». В экспериментах использованы представители отряда Dictyoptera: Periplaneta americana, Shelfordella tartara, Gromphadorhina portentosa, Blaberus craniifer, Nauphoeta cinerea. Животных содержали в оборудованных укрытиями садках с кокосовым и опилочным грунтом. Для успешного разведения тараканов поддерживали высокий уровень влажности. Кормление проводили 2 раза в неделю.</w:t>
      </w:r>
    </w:p>
    <w:p w:rsidR="007A159E" w:rsidRDefault="006751C3">
      <w:pPr>
        <w:pStyle w:val="a3"/>
      </w:pPr>
      <w:r>
        <w:t>Гемолимфу получали по стандартной методике [6]. Были проведены исследования с применением световой и зондовой микроскопии (Nikon Eclipse Ti-E, Интегра Вита NT-MDT).</w:t>
      </w:r>
    </w:p>
    <w:p w:rsidR="007A159E" w:rsidRDefault="006751C3">
      <w:pPr>
        <w:pStyle w:val="a3"/>
      </w:pPr>
      <w:r>
        <w:t>Препараты фотографировали, по снимкам проводили измерения клеток, ядер, гранул и включений по длинной и короткой осям с помощью анализатора изображений «ВидеоТест» (ООО «Микроскоп Сервис», г. Санкт-Петербург).</w:t>
      </w:r>
    </w:p>
    <w:p w:rsidR="007A159E" w:rsidRDefault="006751C3">
      <w:pPr>
        <w:pStyle w:val="a3"/>
      </w:pPr>
      <w:r>
        <w:t>Определяли величину мембранного резерва и изучали влияние гипоосмотической нагрузки на объем гемоцитов. Полученную гемолимфу делили на три части, каждую из которых помещали в отдельную чашку Петри. К каждой части гемолимфы добавляли 10 мкл раствора NaCl определенной концентрации (изотонический раствор - 0.97% NaCl, сильногипотонический - 0.24% NaCl) для определения мембранного резерва.</w:t>
      </w:r>
    </w:p>
    <w:p w:rsidR="007A159E" w:rsidRDefault="006751C3">
      <w:pPr>
        <w:pStyle w:val="a3"/>
      </w:pPr>
      <w:r>
        <w:t>Инкубацию проводили в течение 1 минуты. Далее изучали прижизненные особенности клеток, их морфометрические показатели с помощью оптического инвертированного микроскопа Nikon Digital Eclipse Ti-E. Получали фотографии в режиме реального времени и проводили линейные измерения, применяя анализатор изображений «Видео-Тест».</w:t>
      </w:r>
    </w:p>
    <w:p w:rsidR="007A159E" w:rsidRDefault="006751C3">
      <w:pPr>
        <w:pStyle w:val="a3"/>
      </w:pPr>
      <w:r>
        <w:t>Гемоциты имеют относительно эллипсоидную форму, поэтому измеряли большую, среднюю и малую ось. Используя значения этих линейных размеров, рассчитывали площадь поверхности клеток и их объём.</w:t>
      </w:r>
    </w:p>
    <w:p w:rsidR="007A159E" w:rsidRDefault="006751C3">
      <w:pPr>
        <w:pStyle w:val="a3"/>
      </w:pPr>
      <w:r>
        <w:t>Формулы для расчёта показателей:</w:t>
      </w:r>
    </w:p>
    <w:p w:rsidR="007A159E" w:rsidRDefault="006751C3">
      <w:pPr>
        <w:pStyle w:val="a3"/>
      </w:pPr>
      <w:r>
        <w:t>s = 4п[(арЬр+арср+Ьрср)/3]р V=4/3(nabc),</w:t>
      </w:r>
    </w:p>
    <w:p w:rsidR="007A159E" w:rsidRDefault="006751C3">
      <w:pPr>
        <w:pStyle w:val="a3"/>
      </w:pPr>
      <w:r>
        <w:t>где S - площадь поверхности гемоцита, V - объём, а - большая полуось, b - малая полуось, с - средняя полуось, p=1,6075 - коэффициент К. Томсена.</w:t>
      </w:r>
    </w:p>
    <w:p w:rsidR="007A159E" w:rsidRDefault="006751C3">
      <w:pPr>
        <w:pStyle w:val="a3"/>
      </w:pPr>
      <w:r>
        <w:t>Рассчитывали абсолютную величину мембранного резерва как разность между площадью поверхности клетки в сильно гипотоническом растворе и площадью поверхности клетки в изотонической среде.</w:t>
      </w:r>
    </w:p>
    <w:p w:rsidR="007A159E" w:rsidRDefault="006751C3">
      <w:pPr>
        <w:pStyle w:val="a3"/>
      </w:pPr>
      <w:r>
        <w:t>AS=S(CT)-S(^,</w:t>
      </w:r>
    </w:p>
    <w:p w:rsidR="007A159E" w:rsidRDefault="006751C3">
      <w:pPr>
        <w:pStyle w:val="a3"/>
      </w:pPr>
      <w:r>
        <w:t>где AS - резерв плазматической мембраны (дш2); S(CT') - площадь поверхности клетки, после инкубации в сильно гипотонической среде (дш 2); S^) - площадь поверхности клетки , после инкубации в изотонической среде (дш 2).</w:t>
      </w:r>
    </w:p>
    <w:p w:rsidR="007A159E" w:rsidRDefault="006751C3">
      <w:pPr>
        <w:pStyle w:val="a3"/>
      </w:pPr>
      <w:r>
        <w:t>Для определения доли используемого мембранного резерва (MR) использовали следующую формулу:</w:t>
      </w:r>
    </w:p>
    <w:p w:rsidR="007A159E" w:rsidRDefault="006751C3">
      <w:pPr>
        <w:pStyle w:val="a3"/>
      </w:pPr>
      <w:r>
        <w:t>(AS/ S(CT))-100 %,</w:t>
      </w:r>
    </w:p>
    <w:p w:rsidR="007A159E" w:rsidRDefault="006751C3">
      <w:pPr>
        <w:pStyle w:val="a3"/>
      </w:pPr>
      <w:r>
        <w:t>где AS - резерв плазматической мембраны (дш2); S(CT') - площадь поверхности клетки, после инкубации в сильно гипотонической среде (дш 2);</w:t>
      </w:r>
    </w:p>
    <w:p w:rsidR="007A159E" w:rsidRDefault="006751C3">
      <w:pPr>
        <w:pStyle w:val="a3"/>
      </w:pPr>
      <w:r>
        <w:t>Полученные данные обрабатывали с использованием методов вариационной статистики.</w:t>
      </w:r>
    </w:p>
    <w:p w:rsidR="007A159E" w:rsidRDefault="006751C3">
      <w:pPr>
        <w:pStyle w:val="a3"/>
      </w:pPr>
      <w:r>
        <w:t>Результаты и их обсуждение</w:t>
      </w:r>
    </w:p>
    <w:p w:rsidR="007A159E" w:rsidRDefault="006751C3">
      <w:pPr>
        <w:pStyle w:val="a3"/>
      </w:pPr>
      <w:r>
        <w:t>Мембранный резерв, определяемый степенью складчатости плазмалеммы, является одной из важнейших морфофункциональных особенностей клеток крови. Он используется фагоцитами при образовании псевдоподий при амебоидном движении и захвате инородных объектов в ходе защитных реакций. В поддержании функциональной активности форменных элементов крови большое значение имеет система саморегуляции объёма клеток и упругие свойства гемоцитов [7, 8]. Работы по изучению величины мембранного резерва ядерных клеток гемолимфы насекомых до настоящего времени не проводились.</w:t>
      </w:r>
    </w:p>
    <w:p w:rsidR="007A159E" w:rsidRDefault="006751C3">
      <w:pPr>
        <w:pStyle w:val="a3"/>
      </w:pPr>
      <w:r>
        <w:t>В норме большинство клеток многоклеточных организмов находятся в изотонических условиях. Изменения концентрации внутри- или внеклеточного растворов приводят к возникновению трансмембранного градиента осмотического давления. Поскольку плазмалемма проницаема для воды, то это приводит к перемещению растворителя в клетку или из неё. Таким образом, происходит или увеличение, или уменьшение объёма клетки.</w:t>
      </w:r>
    </w:p>
    <w:p w:rsidR="007A159E" w:rsidRDefault="006751C3">
      <w:pPr>
        <w:pStyle w:val="a3"/>
      </w:pPr>
      <w:r>
        <w:t>Проведена инкубация гемоцитов исследуемых видов в изотонической и сильногипотонической средах. Определили площадь и объем гемоцитов, инкубированных в различных растворах.</w:t>
      </w:r>
    </w:p>
    <w:p w:rsidR="007A159E" w:rsidRDefault="006751C3">
      <w:pPr>
        <w:pStyle w:val="a3"/>
      </w:pPr>
      <w:r>
        <w:t>У B. craniifer наибольшее увеличение объема в сильно гипотоническом растворе происходило у гемоцитов типа 3 и 5. Для последнего характерно увеличение линейных размеров только по короткой оси.</w:t>
      </w:r>
    </w:p>
    <w:p w:rsidR="007A159E" w:rsidRDefault="006751C3">
      <w:pPr>
        <w:pStyle w:val="a3"/>
      </w:pPr>
      <w:r>
        <w:t>Значительное увеличение объема клеток в ответ на гипоосмотическую нагрузку у гемо- цитов типа 3 и 5 связано с высокой фагоцитарной активностью.</w:t>
      </w:r>
    </w:p>
    <w:p w:rsidR="007A159E" w:rsidRDefault="006751C3">
      <w:pPr>
        <w:pStyle w:val="a3"/>
      </w:pPr>
      <w:r>
        <w:t>Гемоциты типа 1 демонстрируют наименее выраженное увеличение объема в ответ на гипоосмотичекую нагрузку. Это может быть связано с наличием крупного ядра, занимающего практически всю цитоплазму, и ведет к неспособности клеток существенно изменять свою форму и образовывать псевдоподии.</w:t>
      </w:r>
    </w:p>
    <w:p w:rsidR="007A159E" w:rsidRDefault="006751C3">
      <w:pPr>
        <w:pStyle w:val="a3"/>
      </w:pPr>
      <w:r>
        <w:t>Максимальное увеличение объема у G. portentosa демонстрируют гемоциты типа 5 и 4, у N. cinerea - клетки 2 и 4 типов. Последние очень нестабильны даже в изотонической среде. Под воздействием гипоосмотической нагрузки увеличиваются в объеме, часто с последующим разрывом мембраны, сопровождающимся выходом сферических везикул.</w:t>
      </w:r>
    </w:p>
    <w:p w:rsidR="007A159E" w:rsidRDefault="006751C3">
      <w:pPr>
        <w:pStyle w:val="a3"/>
      </w:pPr>
      <w:r>
        <w:t>Рассчитывали абсолютную величину мембранного резерва (таблицы 1-2) как разность между площадью поверхности клетки в сильно гипотоническом растворе и площадью поверхности клетки в изотонической среде.</w:t>
      </w:r>
    </w:p>
    <w:p w:rsidR="007A159E" w:rsidRDefault="006751C3">
      <w:pPr>
        <w:pStyle w:val="a3"/>
      </w:pPr>
      <w:r>
        <w:t>Таблица 1</w:t>
      </w:r>
    </w:p>
    <w:p w:rsidR="007A159E" w:rsidRDefault="006751C3">
      <w:pPr>
        <w:pStyle w:val="a3"/>
      </w:pPr>
      <w:r>
        <w:t>Абсолютный мембранный резерв (AS) и доля используемого мембранного резерва (MR)</w:t>
      </w:r>
    </w:p>
    <w:p w:rsidR="007A159E" w:rsidRDefault="006751C3">
      <w:pPr>
        <w:pStyle w:val="a3"/>
      </w:pPr>
      <w:r>
        <w:t>представителей семейства Blaberidae</w:t>
      </w:r>
    </w:p>
    <w:p w:rsidR="007A159E" w:rsidRDefault="006751C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  <w:gridCol w:w="480"/>
        <w:gridCol w:w="480"/>
      </w:tblGrid>
      <w:tr w:rsidR="007A159E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Представители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A159E" w:rsidRDefault="006751C3">
            <w:r>
              <w:t>N. cinerea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A159E" w:rsidRDefault="006751C3">
            <w:r>
              <w:t>B. craniifer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A159E" w:rsidRDefault="006751C3">
            <w:r>
              <w:t>G. portentosa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AS (цш2)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MR (%)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AS (цш2)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(MR) (%)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AS (цш2)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(MR) (%)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7.4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12.4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17.3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16.0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3.4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6.6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61.4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33.3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23.4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8.0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21.3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13.8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9.0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49.1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28.0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15.1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17.7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94.3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60.0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41.3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41.3</w:t>
            </w:r>
          </w:p>
        </w:tc>
      </w:tr>
      <w:tr w:rsidR="007A159E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5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19.0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90.1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29.0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162.8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53.0</w:t>
            </w:r>
          </w:p>
        </w:tc>
      </w:tr>
    </w:tbl>
    <w:p w:rsidR="007A159E" w:rsidRPr="006751C3" w:rsidRDefault="006751C3">
      <w:pPr>
        <w:pStyle w:val="a3"/>
      </w:pPr>
      <w:r>
        <w:t>Гемоцитами типа 1 меньше всего используется мембранный резерв (до 16%). Типы 2, 3 и 5 активно участвуют в процессах фагоцитоза. Мембранный резерв необходим для образования фагосом, формирования псевдоподий при миграции.</w:t>
      </w:r>
    </w:p>
    <w:p w:rsidR="007A159E" w:rsidRDefault="006751C3">
      <w:pPr>
        <w:pStyle w:val="a3"/>
      </w:pPr>
      <w:r>
        <w:t>Таблица 2</w:t>
      </w:r>
    </w:p>
    <w:p w:rsidR="007A159E" w:rsidRDefault="006751C3">
      <w:pPr>
        <w:pStyle w:val="a3"/>
      </w:pPr>
      <w:r>
        <w:t>Абсолютный мембранный резерв (AS) и доля используемого мембранного резерва (MR)</w:t>
      </w:r>
    </w:p>
    <w:p w:rsidR="007A159E" w:rsidRDefault="006751C3">
      <w:pPr>
        <w:pStyle w:val="a3"/>
      </w:pPr>
      <w:r>
        <w:t>представителей семейства Blattidae</w:t>
      </w:r>
    </w:p>
    <w:p w:rsidR="007A159E" w:rsidRDefault="006751C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7A159E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Представители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A159E" w:rsidRDefault="006751C3">
            <w:r>
              <w:t>P. americana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A159E" w:rsidRDefault="006751C3">
            <w:r>
              <w:t>S. tartara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AS (цш2)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MR (%)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AS (цш2)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(MR) (%)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11.9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12.0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10.7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13.0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24.3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119.4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36.7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50.2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39.0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48.6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29.2</w:t>
            </w:r>
          </w:p>
        </w:tc>
      </w:tr>
      <w:tr w:rsidR="007A159E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4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18.3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12.0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-</w:t>
            </w:r>
          </w:p>
        </w:tc>
      </w:tr>
      <w:tr w:rsidR="007A159E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A159E" w:rsidRDefault="006751C3">
            <w:r>
              <w:t>Тип 5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46.9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25.0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76.9</w:t>
            </w:r>
          </w:p>
        </w:tc>
        <w:tc>
          <w:tcPr>
            <w:tcW w:w="0" w:type="auto"/>
            <w:vAlign w:val="center"/>
            <w:hideMark/>
          </w:tcPr>
          <w:p w:rsidR="007A159E" w:rsidRDefault="006751C3">
            <w:r>
              <w:t>38.0</w:t>
            </w:r>
          </w:p>
        </w:tc>
      </w:tr>
    </w:tbl>
    <w:p w:rsidR="007A159E" w:rsidRPr="006751C3" w:rsidRDefault="006751C3">
      <w:pPr>
        <w:pStyle w:val="a3"/>
      </w:pPr>
      <w:r>
        <w:t>Крупным клеткам часто соответствует большее значение абсолютного мембранного резерва, как в случае с гемоцитами 2 типа у N. cinerea и S. tartara, однако по доле используемого мембранного резерва эти клетки уступают, в связи с большой площадью поверхности относительно AS.</w:t>
      </w:r>
    </w:p>
    <w:p w:rsidR="007A159E" w:rsidRDefault="006751C3">
      <w:pPr>
        <w:pStyle w:val="a3"/>
      </w:pPr>
      <w:r>
        <w:t>На изменения объёма клетки отвечают активацией мембранного транспорта и\или изменением метаболизма, результатом чего является потеря или поглощение воды и, как следствие, восстановление нормальной величины объёма. Объём может регулироваться поступлением в клетку или выходом из неё осмотически активных веществ: электролитов (прежде всего Na+ и К+), а также органических осмолитов [9].</w:t>
      </w:r>
    </w:p>
    <w:p w:rsidR="007A159E" w:rsidRDefault="006751C3">
      <w:pPr>
        <w:pStyle w:val="a3"/>
      </w:pPr>
      <w:r>
        <w:t>В большинстве животных клеток регулируемое уменьшение объёма связано с потерей KCl через активированные калиевые и хлорные каналы или с активацией К+, 0_котранспорта [10]. Регулируемое увеличение объёма осуществляется путём поглощения KCl и NaCl. Накопление этих солей происходит через Na+/H+- и С1-/нСО3--насосы или благодаря Na+, К+, 20--котранспорту. Активация этих систем происходит в течение нескольких секунд или минут в связи с тем, что плазмалемма богата транспортными белками или они быстро в неё встраиваются в составе цитоплазматических везикул.</w:t>
      </w:r>
    </w:p>
    <w:p w:rsidR="007A159E" w:rsidRDefault="006751C3">
      <w:pPr>
        <w:pStyle w:val="a3"/>
      </w:pPr>
      <w:r>
        <w:t>Заключение</w:t>
      </w:r>
    </w:p>
    <w:p w:rsidR="007A159E" w:rsidRDefault="006751C3">
      <w:pPr>
        <w:pStyle w:val="a3"/>
      </w:pPr>
      <w:r>
        <w:t>В результате проведенных исследований осуществлено определение площади и объема гемоцитов, инкубированных в растворах разной осмотичности.</w:t>
      </w:r>
    </w:p>
    <w:p w:rsidR="007A159E" w:rsidRDefault="006751C3">
      <w:pPr>
        <w:pStyle w:val="a3"/>
      </w:pPr>
      <w:r>
        <w:t>Гемоцитами типа 1 меньше всего используется мембранный резерв (до 16%). Для гемоцитов типов 2, 3 и 5 характерно максимальное использование мембранного резерва, так как именно эти клетки активно участвуют в процессах фагоцитоза.</w:t>
      </w:r>
    </w:p>
    <w:p w:rsidR="007A159E" w:rsidRDefault="006751C3">
      <w:pPr>
        <w:pStyle w:val="a3"/>
      </w:pPr>
      <w:r>
        <w:t>Списоклитературы</w:t>
      </w:r>
    </w:p>
    <w:p w:rsidR="007A159E" w:rsidRDefault="006751C3">
      <w:pPr>
        <w:pStyle w:val="a3"/>
      </w:pPr>
      <w:r>
        <w:t>Tiwari R.K., Pandey J.P., Kumar D. Effects of neem based insecticides on metamorphosis, haemocytes count and reproductive behavior in red cotton bug, Dysdercus koenigii fabr (Heteroptera: Pyrrhocoridae) // En- tomonology. - 2006. - V. 31. - P. 267-275.</w:t>
      </w:r>
    </w:p>
    <w:p w:rsidR="007A159E" w:rsidRDefault="006751C3">
      <w:pPr>
        <w:pStyle w:val="a3"/>
      </w:pPr>
      <w:r>
        <w:t>Pandey J.P. Studies on stress induced haematological changes in Dysdercus cingulatus Fabr. (Heter- optera: Pyrrhocoridae) and Danais chryssipus (Lepidoptera: Nymphalidae). // Ph.D Thesis. - 2004. - P.12-16.</w:t>
      </w:r>
    </w:p>
    <w:p w:rsidR="007A159E" w:rsidRDefault="006751C3">
      <w:pPr>
        <w:pStyle w:val="a3"/>
      </w:pPr>
      <w:r>
        <w:t>Pandey J.P., Tiwari R.K., Kumar D. Reduction in hemocyte mediated immune response in Danais chrysippus following treatment with neem based insecticides. // J. Entomol. - 2008. - V.5. - P. 200-206.</w:t>
      </w:r>
    </w:p>
    <w:p w:rsidR="007A159E" w:rsidRDefault="006751C3">
      <w:pPr>
        <w:pStyle w:val="a3"/>
      </w:pPr>
      <w:r>
        <w:t>Присный А.А., Гребцова Е.А. Морфофункциональные особенности иммунных клеток некоторых представителей отряда Coleoptera // Научные ведомости Белгородского государственного университета. Серия Естественные науки. - 2012. - № 15 (134). Выпуск 20. - С. 115-118.</w:t>
      </w:r>
    </w:p>
    <w:p w:rsidR="007A159E" w:rsidRDefault="006751C3">
      <w:pPr>
        <w:pStyle w:val="a3"/>
      </w:pPr>
      <w:r>
        <w:t>Присный А.А., Гребцова Е.А. Механические свойства плазматической мембраны гемоцитов некоторых представителей отряда Dictyoptera // Вестник Тамбовского университета. Серия Естественные и технические науки. - 2013. - Том 18. Выпуск 4. - С. 1635-1636.</w:t>
      </w:r>
    </w:p>
    <w:p w:rsidR="007A159E" w:rsidRDefault="006751C3">
      <w:pPr>
        <w:pStyle w:val="a3"/>
      </w:pPr>
      <w:r>
        <w:t>Злотин А.З. Техническая энтомология. - Киев: Наукова Думка, 1989. - 184 с.</w:t>
      </w:r>
    </w:p>
    <w:p w:rsidR="007A159E" w:rsidRDefault="006751C3">
      <w:pPr>
        <w:pStyle w:val="a3"/>
      </w:pPr>
      <w:r>
        <w:t>BaggeU., Amundson B., Lauritzen C. White blood cell deformability and plugging of skeletal muscle capillaries in hemorrhagic shock. // Acta Physiol Scand. - 1980. - V. 108(2). - P. 159-163.</w:t>
      </w:r>
    </w:p>
    <w:p w:rsidR="007A159E" w:rsidRDefault="006751C3">
      <w:pPr>
        <w:pStyle w:val="a3"/>
      </w:pPr>
      <w:r>
        <w:t>BaggeU., Skalak R., Attefors R. Granulocyte rheology. Experimental studies in an in vitro microflow system. // Adv Microcirc. - 1977. - V. 7. - P. 29-49.</w:t>
      </w:r>
    </w:p>
    <w:p w:rsidR="007A159E" w:rsidRDefault="006751C3">
      <w:pPr>
        <w:pStyle w:val="a3"/>
      </w:pPr>
      <w:r>
        <w:t>McManus M.L, Churchwell K.B. Regulation of Cell Volume in Health and Disease. // The New England Journal of Medicine. - 1995. - № 19. - P. 123-134.</w:t>
      </w:r>
    </w:p>
    <w:p w:rsidR="007A159E" w:rsidRDefault="006751C3">
      <w:pPr>
        <w:pStyle w:val="a3"/>
      </w:pPr>
      <w:r>
        <w:t>Орлов С.Н., Гурло Т.Г. Механизмы активации ионного транспорта при изменении объема клеток // Цитология. -1991. - Т.33, №11. - С. 101-110.</w:t>
      </w:r>
      <w:bookmarkStart w:id="0" w:name="_GoBack"/>
      <w:bookmarkEnd w:id="0"/>
    </w:p>
    <w:sectPr w:rsidR="007A1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1C3"/>
    <w:rsid w:val="006751C3"/>
    <w:rsid w:val="007A159E"/>
    <w:rsid w:val="00D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CAD7-433D-495E-AF34-AE898D51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1824</Words>
  <Characters>10399</Characters>
  <Application>Microsoft Office Word</Application>
  <DocSecurity>0</DocSecurity>
  <Lines>86</Lines>
  <Paragraphs>24</Paragraphs>
  <ScaleCrop>false</ScaleCrop>
  <Company>diakov.net</Company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гипоосмотической нагрузки на объем клеток и определение мембранного резерва гемоцитов представителей отряда dictyoptera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