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0F" w:rsidRDefault="00B16999">
      <w:pPr>
        <w:pStyle w:val="1"/>
        <w:jc w:val="center"/>
      </w:pPr>
      <w:r>
        <w:t>Романов, Николай Романович</w:t>
      </w:r>
    </w:p>
    <w:p w:rsidR="00D20E0F" w:rsidRDefault="00B16999">
      <w:r>
        <w:t xml:space="preserve">Введение </w:t>
      </w:r>
      <w:r>
        <w:br/>
      </w:r>
      <w:r>
        <w:rPr>
          <w:b/>
          <w:bCs/>
        </w:rPr>
        <w:t>1 Происхождение и детство</w:t>
      </w:r>
      <w:r>
        <w:br/>
      </w:r>
      <w:r>
        <w:rPr>
          <w:b/>
          <w:bCs/>
        </w:rPr>
        <w:t>2 Образование и Вторая мировая война</w:t>
      </w:r>
      <w:r>
        <w:br/>
      </w:r>
      <w:r>
        <w:rPr>
          <w:b/>
          <w:bCs/>
        </w:rPr>
        <w:t>3 После войны</w:t>
      </w:r>
      <w:r>
        <w:br/>
      </w:r>
      <w:r>
        <w:rPr>
          <w:b/>
          <w:bCs/>
        </w:rPr>
        <w:t>4 Общественная деятельность. Главенство в доме Романовых</w:t>
      </w:r>
      <w:r>
        <w:br/>
      </w:r>
      <w:r>
        <w:rPr>
          <w:b/>
          <w:bCs/>
        </w:rPr>
        <w:t>5 Семья</w:t>
      </w:r>
      <w:r>
        <w:br/>
      </w:r>
      <w:r>
        <w:br/>
      </w:r>
      <w:r>
        <w:rPr>
          <w:b/>
          <w:bCs/>
        </w:rPr>
        <w:t>Список литературы</w:t>
      </w:r>
      <w:r>
        <w:br/>
      </w:r>
      <w:r>
        <w:br/>
        <w:t>&gt;Прапрадед — император Николай I.Прадед — великий князь Николай Николаевич Старший (1831—1891).Дед и бабка: великий князь Пётр Николаевич (1864—1931) и черногорская княжна Милица Николаевна (по отцовской линии), граф Дмитрий Сергеевич Шереметев (1869-1943) и графиня Ирина Илларионовна, урожденная Воронцова-Дашкова (1872-1959) (по материнской линии).Отец — князь императорской крови Роман Петрович (1896—1978).Мать — графиня Прасковья Дмитриевна Шереметева (1901—1980).</w:t>
      </w:r>
    </w:p>
    <w:p w:rsidR="00D20E0F" w:rsidRPr="00B16999" w:rsidRDefault="00B16999">
      <w:pPr>
        <w:pStyle w:val="a3"/>
      </w:pPr>
      <w:r>
        <w:t>Родился в Антибе (Франция), где его родители находились в эмиграции; был первым ребёнком в семье князя Романа Петровича и княгини Прасковьи Дмитриевны, урождённой графини Шереметевой. В 1926 году у его родителей родился 2-й ребёнок — Дмитрий Романович Романов.</w:t>
      </w:r>
    </w:p>
    <w:p w:rsidR="00D20E0F" w:rsidRDefault="00B16999">
      <w:pPr>
        <w:pStyle w:val="a3"/>
      </w:pPr>
      <w:r>
        <w:t>В семье использовали юлианский календарь, и с детства он говорил на русском и французском языках[5].</w:t>
      </w:r>
    </w:p>
    <w:p w:rsidR="00D20E0F" w:rsidRDefault="00B16999">
      <w:r>
        <w:t>2. Образование и Вторая мировая война</w:t>
      </w:r>
    </w:p>
    <w:p w:rsidR="00D20E0F" w:rsidRPr="00B16999" w:rsidRDefault="00B16999">
      <w:pPr>
        <w:pStyle w:val="a3"/>
      </w:pPr>
      <w:r>
        <w:t>Получил частное начальное образование во Франции. В 1936 году семья переехала в Италию, для получения более хорошего образования.</w:t>
      </w:r>
    </w:p>
    <w:p w:rsidR="00D20E0F" w:rsidRDefault="00B16999">
      <w:pPr>
        <w:pStyle w:val="a3"/>
      </w:pPr>
      <w:r>
        <w:t>С 12 лет Николай мечтал стать морским офицером, однако у него появились признаки близорукости, и надежда на флотскую карьеру исчезла.</w:t>
      </w:r>
    </w:p>
    <w:p w:rsidR="00D20E0F" w:rsidRDefault="00B16999">
      <w:pPr>
        <w:pStyle w:val="a3"/>
      </w:pPr>
      <w:r>
        <w:t>В 1942 году окончил гуманитарную академию в Риме. В начале Второй мировой войны с родителями жил в резиденции короля Виктора Эммануила III, супруга которого Елена Черногорская была сестрой его бабки. В 1942 году отверг предложение руководства Италии стать королём оккупированной итальянцами Черногории[6].</w:t>
      </w:r>
    </w:p>
    <w:p w:rsidR="00D20E0F" w:rsidRDefault="00B16999">
      <w:pPr>
        <w:pStyle w:val="a3"/>
      </w:pPr>
      <w:r>
        <w:t>После того как король Виктор Эммануил в сентябре 1943 года бежал из Рима, вместе с семьёй в течение 9 месяцев скрывался от фашистов и немцев; его бабке, великой княгине Милице Николаевне пришлось скрываться в Ватикане.</w:t>
      </w:r>
    </w:p>
    <w:p w:rsidR="00D20E0F" w:rsidRDefault="00B16999">
      <w:pPr>
        <w:pStyle w:val="a3"/>
      </w:pPr>
      <w:r>
        <w:t>С июля 1944 года работал в британо-американском Управлении психологической войны (англ. Psychological Warfare Division) и в информационной службе США (англ. United States Information Service).</w:t>
      </w:r>
    </w:p>
    <w:p w:rsidR="00D20E0F" w:rsidRDefault="00B16999">
      <w:r>
        <w:t>3. После войны</w:t>
      </w:r>
    </w:p>
    <w:p w:rsidR="00D20E0F" w:rsidRPr="00B16999" w:rsidRDefault="00B16999">
      <w:pPr>
        <w:pStyle w:val="a3"/>
      </w:pPr>
      <w:r>
        <w:t>По совету короля Умберто II, семья уехала из Италии в Египет в 1946 году. В Египте Николай занимался торговлей табаком, затем работал в страховой компании. Вернувшись в Европу в 1950 году, работал в Риме в Austin Motor Company до 1954 года.</w:t>
      </w:r>
    </w:p>
    <w:p w:rsidR="00D20E0F" w:rsidRDefault="00B16999">
      <w:pPr>
        <w:pStyle w:val="a3"/>
      </w:pPr>
      <w:r>
        <w:t>По смерти своего шурина, в 1955 году стал управляющим бизнеса семьи своей жены — большой фермы в Тоскане; до 1980 года занимался разведением скота (кьянины) и виноделием[5].</w:t>
      </w:r>
    </w:p>
    <w:p w:rsidR="00D20E0F" w:rsidRDefault="00B16999">
      <w:pPr>
        <w:pStyle w:val="a3"/>
      </w:pPr>
      <w:r>
        <w:t>В 1982 году продал ферму и с женой переехал в Ружмон. В 1988 году принял итальянское гражданство (до того был лицом без гражданства).</w:t>
      </w:r>
    </w:p>
    <w:p w:rsidR="00D20E0F" w:rsidRDefault="00B16999">
      <w:pPr>
        <w:pStyle w:val="a3"/>
      </w:pPr>
      <w:r>
        <w:t>Исследователь истории флота, в 1987 году выпустил книгу о русских броненосцах. Владеет французским, русским, итальянским и английским языками, читает по-испански.</w:t>
      </w:r>
    </w:p>
    <w:p w:rsidR="00D20E0F" w:rsidRDefault="00B16999">
      <w:r>
        <w:t>4. Общественная деятельность. Главенство в доме Романовых</w:t>
      </w:r>
    </w:p>
    <w:p w:rsidR="00D20E0F" w:rsidRPr="00B16999" w:rsidRDefault="00B16999">
      <w:pPr>
        <w:pStyle w:val="a3"/>
      </w:pPr>
      <w:r>
        <w:t>В 1989 году возглавил Объединение членов Дома Романовых, был вновь избран председателем его комитета на съезде Романовых в Петергофе 18 июля 1998 года и повторно в 2007 году. Главную роль руководимого им объединения Николай Романович видит в сохранении единства рода, пропаганде его исторических традиций и просветительской деятельности. Выступил инициатором съезда мужчин-Романовых в июне 1992 года в Париже. На съезде был создан Фонд Романовых для России, который возглавил его брат Димитрий Романович, помогающий детским домам, приютам и больницам в России и странах СНГ.</w:t>
      </w:r>
    </w:p>
    <w:p w:rsidR="00D20E0F" w:rsidRDefault="00B16999">
      <w:pPr>
        <w:pStyle w:val="a3"/>
      </w:pPr>
      <w:r>
        <w:t xml:space="preserve">Николай Романович впервые побывал в России в июне 1992 года, когда он выступал в качестве гида для группы предпринимателей. Появляется в средствах массовой информации и документальных филмах, давая интервью о Романовых, так в 2003 году, в датском документальном фильме «En Kongelig familie», в 2007 на телеканале France 3 в фильме «Un nom en h?ritage, les Romanov»[7], и в 2008, в фильме </w:t>
      </w:r>
      <w:r>
        <w:rPr>
          <w:b/>
          <w:bCs/>
        </w:rPr>
        <w:t>«Призраки дома Романовых»</w:t>
      </w:r>
      <w:r>
        <w:t>. В 1999 году документальный фильм о его жизни был подготовлен российским телеканалом НТВ[8].</w:t>
      </w:r>
    </w:p>
    <w:p w:rsidR="00D20E0F" w:rsidRDefault="00B16999">
      <w:pPr>
        <w:pStyle w:val="a3"/>
      </w:pPr>
      <w:r>
        <w:t>В 1998 году присутствовал во главе на церемонии погребения в Петропавловском соборе Санкт-Петербурга останков, Николая II, членов его семьи и слуг[9]. Был одним из инициаторов перезахоронения вдовствующей императрицы Марии Феодоровны, супруги Александра III, и во главе потомков Дома Романовых присутствовал на всех траурных мероприятиях в Копенгагене и Петербурге[10]. Собирает информацию обо всех членах династии, обладает огромным архивом и по существу стал фамильным историком Дома Романовых. Все потомки Российского Императорского Дома, кроме ветви Кирилловичей признают его главой Дома Романовых[11].</w:t>
      </w:r>
    </w:p>
    <w:p w:rsidR="00D20E0F" w:rsidRDefault="00B16999">
      <w:r>
        <w:t>Владимир Александрович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Кирилл Владимирович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Владимир Кириллович</w:t>
                  </w:r>
                </w:p>
              </w:tc>
            </w:tr>
          </w:tbl>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Борис Владимирович</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Андрей Владимирович</w:t>
            </w:r>
          </w:p>
        </w:tc>
      </w:tr>
    </w:tbl>
    <w:p w:rsidR="00D20E0F" w:rsidRDefault="00B16999">
      <w:r>
        <w:t>Алексей АлександровичСергей АлександровичПавел Александрович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Дмитрий Павлович</w:t>
            </w:r>
          </w:p>
        </w:tc>
      </w:tr>
    </w:tbl>
    <w:p w:rsidR="00D20E0F" w:rsidRDefault="00B16999">
      <w:r>
        <w:t>Константин Николаевич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Николай Константинович</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Константин Константинович</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Дмитрий Константинович</w:t>
            </w:r>
          </w:p>
        </w:tc>
      </w:tr>
    </w:tbl>
    <w:p w:rsidR="00D20E0F" w:rsidRDefault="00B16999">
      <w:r>
        <w:t>Николай Николаевич Старший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Николай Николаевич Младший</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Пётр Николаевич</w:t>
            </w:r>
          </w:p>
        </w:tc>
      </w:tr>
    </w:tbl>
    <w:p w:rsidR="00D20E0F" w:rsidRDefault="00B16999">
      <w:r>
        <w:t>Михаил Николаевич</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D20E0F">
        <w:trPr>
          <w:gridAfter w:val="1"/>
          <w:tblCellSpacing w:w="15" w:type="dxa"/>
        </w:trPr>
        <w:tc>
          <w:tcPr>
            <w:tcW w:w="0" w:type="auto"/>
            <w:vMerge w:val="restart"/>
            <w:shd w:val="clear" w:color="auto" w:fill="CCCCCC"/>
            <w:vAlign w:val="center"/>
            <w:hideMark/>
          </w:tcPr>
          <w:p w:rsidR="00D20E0F" w:rsidRDefault="00D20E0F"/>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Николай Михайлович</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Александр Михайлович</w:t>
            </w:r>
          </w:p>
        </w:tc>
      </w:tr>
      <w:tr w:rsidR="00D20E0F">
        <w:trPr>
          <w:tblCellSpacing w:w="15" w:type="dxa"/>
        </w:trPr>
        <w:tc>
          <w:tcPr>
            <w:tcW w:w="0" w:type="auto"/>
            <w:vMerge/>
            <w:vAlign w:val="center"/>
            <w:hideMark/>
          </w:tcPr>
          <w:p w:rsidR="00D20E0F" w:rsidRDefault="00D20E0F"/>
        </w:tc>
        <w:tc>
          <w:tcPr>
            <w:tcW w:w="0" w:type="auto"/>
            <w:vAlign w:val="center"/>
            <w:hideMark/>
          </w:tcPr>
          <w:p w:rsidR="00D20E0F" w:rsidRDefault="00B16999">
            <w:r>
              <w:t>Георгий Михайлович</w:t>
            </w:r>
          </w:p>
        </w:tc>
      </w:tr>
    </w:tbl>
    <w:p w:rsidR="00D20E0F" w:rsidRDefault="00B16999">
      <w:r>
        <w:t>Михаил Павлович</w:t>
      </w:r>
    </w:p>
    <w:p w:rsidR="00D20E0F" w:rsidRPr="00B16999" w:rsidRDefault="00B16999">
      <w:pPr>
        <w:pStyle w:val="a3"/>
      </w:pPr>
      <w:r>
        <w:t>Отрицает права на престол М. В. Романовой[12][13].</w:t>
      </w:r>
    </w:p>
    <w:p w:rsidR="00D20E0F" w:rsidRDefault="00B16999">
      <w:r>
        <w:t>5. Семья</w:t>
      </w:r>
    </w:p>
    <w:p w:rsidR="00D20E0F" w:rsidRPr="00B16999" w:rsidRDefault="00B16999">
      <w:pPr>
        <w:pStyle w:val="a3"/>
      </w:pPr>
      <w:r>
        <w:t>21 января 1952 года в Михайловской церкви в Каннах обвенчался с итальянской графиней Свевой делла Герардеска (род. 1930), представительницей известного итальянского аристократического рода.</w:t>
      </w:r>
    </w:p>
    <w:p w:rsidR="00D20E0F" w:rsidRDefault="00B16999">
      <w:pPr>
        <w:pStyle w:val="a3"/>
      </w:pPr>
      <w:r>
        <w:t>Имеет 3-х дочерей:</w:t>
      </w:r>
    </w:p>
    <w:p w:rsidR="00D20E0F" w:rsidRDefault="00B16999">
      <w:r>
        <w:t>Наталья Николаевна (род. 4 декабря 1952), муж — Джузеппе Консоло. Двое детей:Энцо-Манфреди Консоло (1978—1998)Николетта Консоло (род. 14 мая 1980)Елизавета Николаевна (род. 7 августа 1956), муж — Мауро Боначини. Двое детей:Николо Боначини (род. 4 января 1986)София Боначини (род. 21 декабря 1987)Татьяна Николаевна (род. 12 апреля 1961), 1-й муж — Джанбаттиста Алессандри (разв.), 2-й муж — Джанкарло Тиротти. Дочь:Аллегра Тиротти (род. 2 сентября 1992)</w:t>
      </w:r>
    </w:p>
    <w:p w:rsidR="00D20E0F" w:rsidRPr="00B16999" w:rsidRDefault="00B16999">
      <w:pPr>
        <w:pStyle w:val="a3"/>
      </w:pPr>
      <w:r>
        <w:t>В зимнее время (в течение семи месяцев в году) вместе с супругой живёт в швейцарском селении Ружмон (кантон Во); в остальное время года — в Италии с дочерьми[5].</w:t>
      </w:r>
    </w:p>
    <w:p w:rsidR="00D20E0F" w:rsidRDefault="00B16999">
      <w:r>
        <w:br/>
        <w:t>Список литературы: «Financial Times», 19 сентября 2003: Lunch with the FT: Nicholas Romanov. Nicholas Romanovich Romanov http://imperator.spbnews.ru/news_eng_view.phtml?view=13 Statement by Nicholai Romanov, Russian Prince] Dynastic Succession. imperialhouse.ru. Nikolai Romanov Prince of Russia: an eventful life (страница 6) Романов: «Мне предлагали Черногорию — я отказался» БиБиСи, 22 мая 2006. Un nom en h?ritage, les Romanov (French). France 3. Emperor’s grandson. НТВ. Начало похорон «Коммерсантъ», 16 июля 1998. The Dowager Empress Maria Feodorovna reburied in St Petersburg. Romanov Family Association. Robert K. Massie. The Romanovs: The Final Chapter. — Jonathan Cape. — P. 274. Родственники Николая II не могут вернуться в Россию — не хватает денег на квартиру NEWSru, 15 января 2010. Обращение князя Николая Романовича Романова от 1 августа 1997 года.</w:t>
      </w:r>
      <w:bookmarkStart w:id="0" w:name="_GoBack"/>
      <w:bookmarkEnd w:id="0"/>
    </w:p>
    <w:sectPr w:rsidR="00D20E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999"/>
    <w:rsid w:val="00B16999"/>
    <w:rsid w:val="00CA5CA0"/>
    <w:rsid w:val="00D20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B25A0-C440-470E-AF3C-3E11672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5746</Characters>
  <Application>Microsoft Office Word</Application>
  <DocSecurity>0</DocSecurity>
  <Lines>47</Lines>
  <Paragraphs>13</Paragraphs>
  <ScaleCrop>false</ScaleCrop>
  <Company>diakov.net</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Романов, Николай Романович</dc:title>
  <dc:subject/>
  <dc:creator>Irina</dc:creator>
  <cp:keywords/>
  <dc:description/>
  <cp:lastModifiedBy>Irina</cp:lastModifiedBy>
  <cp:revision>2</cp:revision>
  <dcterms:created xsi:type="dcterms:W3CDTF">2014-07-12T18:56:00Z</dcterms:created>
  <dcterms:modified xsi:type="dcterms:W3CDTF">2014-07-12T18:56:00Z</dcterms:modified>
</cp:coreProperties>
</file>