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43" w:rsidRDefault="0086748B" w:rsidP="00ED1F43">
      <w:pPr>
        <w:pStyle w:val="aff0"/>
        <w:rPr>
          <w:lang w:val="uk-UA"/>
        </w:rPr>
      </w:pPr>
      <w:r w:rsidRPr="00ED1F43">
        <w:rPr>
          <w:lang w:val="uk-UA"/>
        </w:rPr>
        <w:t>Кафедра міжнародної економіки</w:t>
      </w: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Default="00ED1F43" w:rsidP="00ED1F43">
      <w:pPr>
        <w:pStyle w:val="aff0"/>
        <w:rPr>
          <w:lang w:val="uk-UA"/>
        </w:rPr>
      </w:pPr>
    </w:p>
    <w:p w:rsidR="00ED1F43" w:rsidRPr="00ED1F43" w:rsidRDefault="0086748B" w:rsidP="00ED1F43">
      <w:pPr>
        <w:pStyle w:val="aff0"/>
        <w:rPr>
          <w:lang w:val="uk-UA"/>
        </w:rPr>
      </w:pPr>
      <w:r w:rsidRPr="00ED1F43">
        <w:rPr>
          <w:lang w:val="uk-UA"/>
        </w:rPr>
        <w:t>Контрольна робота</w:t>
      </w:r>
    </w:p>
    <w:p w:rsidR="00ED1F43" w:rsidRDefault="0086748B" w:rsidP="00ED1F43">
      <w:pPr>
        <w:pStyle w:val="aff0"/>
        <w:rPr>
          <w:i/>
          <w:iCs/>
          <w:lang w:val="uk-UA"/>
        </w:rPr>
      </w:pPr>
      <w:r w:rsidRPr="00ED1F43">
        <w:rPr>
          <w:i/>
          <w:iCs/>
          <w:lang w:val="uk-UA"/>
        </w:rPr>
        <w:t>з дисципліни</w:t>
      </w:r>
      <w:r w:rsidR="00ED1F43" w:rsidRPr="00ED1F43">
        <w:rPr>
          <w:i/>
          <w:iCs/>
          <w:lang w:val="uk-UA"/>
        </w:rPr>
        <w:t>:</w:t>
      </w:r>
    </w:p>
    <w:p w:rsidR="00ED1F43" w:rsidRDefault="00ED1F43" w:rsidP="00ED1F43">
      <w:pPr>
        <w:pStyle w:val="aff0"/>
        <w:rPr>
          <w:i/>
          <w:iCs/>
          <w:lang w:val="uk-UA"/>
        </w:rPr>
      </w:pPr>
      <w:r>
        <w:rPr>
          <w:i/>
          <w:iCs/>
          <w:lang w:val="uk-UA"/>
        </w:rPr>
        <w:t>"</w:t>
      </w:r>
      <w:r w:rsidR="0086748B" w:rsidRPr="00ED1F43">
        <w:rPr>
          <w:i/>
          <w:iCs/>
          <w:lang w:val="uk-UA"/>
        </w:rPr>
        <w:t>Кон’юнктура світових товарних і фінансових ринків</w:t>
      </w:r>
      <w:r>
        <w:rPr>
          <w:i/>
          <w:iCs/>
          <w:lang w:val="uk-UA"/>
        </w:rPr>
        <w:t>"</w:t>
      </w:r>
    </w:p>
    <w:p w:rsidR="00ED1F43" w:rsidRPr="00ED1F43" w:rsidRDefault="009A0C7F" w:rsidP="00ED1F43">
      <w:pPr>
        <w:pStyle w:val="aff0"/>
        <w:rPr>
          <w:i/>
          <w:iCs/>
          <w:lang w:val="uk-UA"/>
        </w:rPr>
      </w:pPr>
      <w:r w:rsidRPr="00ED1F43">
        <w:rPr>
          <w:i/>
          <w:iCs/>
          <w:lang w:val="uk-UA"/>
        </w:rPr>
        <w:t>Види єврооблігацій</w:t>
      </w:r>
    </w:p>
    <w:p w:rsidR="00ED1F43" w:rsidRPr="00ED1F43" w:rsidRDefault="0086748B" w:rsidP="00ED1F43">
      <w:pPr>
        <w:pStyle w:val="2"/>
        <w:rPr>
          <w:lang w:val="uk-UA"/>
        </w:rPr>
      </w:pPr>
      <w:r w:rsidRPr="00ED1F43">
        <w:rPr>
          <w:lang w:val="uk-UA"/>
        </w:rPr>
        <w:br w:type="page"/>
      </w:r>
      <w:r w:rsidR="0022165A" w:rsidRPr="00ED1F43">
        <w:rPr>
          <w:lang w:val="uk-UA"/>
        </w:rPr>
        <w:t>Види єврооблігацій</w:t>
      </w:r>
    </w:p>
    <w:p w:rsidR="00ED1F43" w:rsidRDefault="00ED1F43" w:rsidP="00ED1F43">
      <w:pPr>
        <w:rPr>
          <w:lang w:val="uk-UA"/>
        </w:rPr>
      </w:pP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На світовому ринку облігацій обертаються два види цінних паперів</w:t>
      </w:r>
      <w:r w:rsidR="00ED1F43" w:rsidRPr="00ED1F43">
        <w:rPr>
          <w:lang w:val="uk-UA"/>
        </w:rPr>
        <w:t xml:space="preserve">: </w:t>
      </w:r>
      <w:r w:rsidRPr="00ED1F43">
        <w:rPr>
          <w:lang w:val="uk-UA"/>
        </w:rPr>
        <w:t>іноземні облігації та єврооблігації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Іноземна облігація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це цінний папір, що випущений нерезидентом у національному фінансовому центрі та в національній валюті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Емісія іноземних облігацій регламентується законодавством з цінних паперів країни-емітента, але на практиці їх обіг значною мірою відповідає принципам євроринків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З 1970-х років ХХ ст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почав активно розвиватися ринок єврооблігацій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облігацій у євровалюті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Так, у 1970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обся</w:t>
      </w:r>
      <w:r w:rsidR="00ED1F43">
        <w:rPr>
          <w:lang w:val="uk-UA"/>
        </w:rPr>
        <w:t xml:space="preserve">г єврооблігацій становив 3 млрд. </w:t>
      </w:r>
      <w:r w:rsidRPr="00ED1F43">
        <w:rPr>
          <w:lang w:val="uk-UA"/>
        </w:rPr>
        <w:t>дол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у 1975 р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10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дол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у 1983 р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близько 50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дол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у 1984 р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82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дол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у 1996 р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275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дол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а в 1997 р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570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дол</w:t>
      </w:r>
      <w:r w:rsidR="00ED1F43" w:rsidRPr="00ED1F43">
        <w:rPr>
          <w:lang w:val="uk-UA"/>
        </w:rPr>
        <w:t>.</w:t>
      </w:r>
    </w:p>
    <w:p w:rsidR="00F35DC7" w:rsidRDefault="0022165A" w:rsidP="00ED1F43">
      <w:pPr>
        <w:rPr>
          <w:lang w:val="uk-UA"/>
        </w:rPr>
      </w:pPr>
      <w:r w:rsidRPr="00ED1F43">
        <w:rPr>
          <w:lang w:val="uk-UA"/>
        </w:rPr>
        <w:t>Є</w:t>
      </w:r>
      <w:r w:rsidR="006821BD" w:rsidRPr="00ED1F43">
        <w:rPr>
          <w:lang w:val="uk-UA"/>
        </w:rPr>
        <w:t>врооблігація</w:t>
      </w:r>
      <w:r w:rsidR="00ED1F43" w:rsidRPr="00ED1F43">
        <w:rPr>
          <w:lang w:val="uk-UA"/>
        </w:rPr>
        <w:t xml:space="preserve"> - </w:t>
      </w:r>
      <w:r w:rsidR="006821BD" w:rsidRPr="00ED1F43">
        <w:rPr>
          <w:lang w:val="uk-UA"/>
        </w:rPr>
        <w:t>це борговий цінний папір на пред’явника, що випускається позичальником</w:t>
      </w:r>
      <w:r w:rsidR="00ED1F43">
        <w:rPr>
          <w:lang w:val="uk-UA"/>
        </w:rPr>
        <w:t xml:space="preserve"> (</w:t>
      </w:r>
      <w:r w:rsidR="006821BD" w:rsidRPr="00ED1F43">
        <w:rPr>
          <w:lang w:val="uk-UA"/>
        </w:rPr>
        <w:t>як правило, в іноземній валюті</w:t>
      </w:r>
      <w:r w:rsidR="00ED1F43" w:rsidRPr="00ED1F43">
        <w:rPr>
          <w:lang w:val="uk-UA"/>
        </w:rPr>
        <w:t xml:space="preserve">) </w:t>
      </w:r>
      <w:r w:rsidR="006821BD" w:rsidRPr="00ED1F43">
        <w:rPr>
          <w:lang w:val="uk-UA"/>
        </w:rPr>
        <w:t>для отримання довгострокової позики на євроринку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Дохід за єврооблігацією сплачується один раз на рік, а погашення відбувається наприкінці терміну одночасним платежем або протягом певного терміну із фонду погашення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До основних особливостей цього фінансового інструменту можна віднести те, що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єврооблігації розміщуються, як правило, одночасно на фінансових ринках кількох країн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єврооблігації купуються інвесторами різних країн на базі котирування їх національних бірж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емісія єврооблігацій меншою мірою підпадає під державне регулювання, не підпорядковується національним правилам проведення операцій з цінними паперами тієї країни, валюта якої є валютою позики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валюта єврооблігації не обов’язково має бути національною грошовою одиницею ні для емітента, ні для інвестора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єврооблігації, як правило, являють собою цінний папір на пред’явника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bearer bonds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з фіксованою відсотковою ставкою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гарантійне розміщення єврооблігацій здійснюється емісійним синдикатом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випуск та обіг єврооблігацій відбуваються згідно з правилами та стандартами, що встановилися на ринку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утримувачам єврооблігацій дохід сплачується у повному обсязі, без податку на відсотковий дохід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withholding tax</w:t>
      </w:r>
      <w:r w:rsidR="00ED1F43" w:rsidRPr="00ED1F43">
        <w:rPr>
          <w:lang w:val="uk-UA"/>
        </w:rPr>
        <w:t xml:space="preserve"> [</w:t>
      </w:r>
      <w:r w:rsidRPr="00ED1F43">
        <w:rPr>
          <w:lang w:val="uk-UA"/>
        </w:rPr>
        <w:t>1</w:t>
      </w:r>
      <w:r w:rsidR="00ED1F43" w:rsidRPr="00ED1F43">
        <w:rPr>
          <w:lang w:val="uk-UA"/>
        </w:rPr>
        <w:t>]),</w:t>
      </w:r>
      <w:r w:rsidRPr="00ED1F43">
        <w:rPr>
          <w:lang w:val="uk-UA"/>
        </w:rPr>
        <w:t xml:space="preserve"> що стягується в країні емітента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Згідно з одним із поширених поглядів, перший випуск єврооблігацій здійснила державна компанія Італії з будівництва доріг Autistrade у липні 1963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Усього було випущено 60 000 облігацій номіналом 250 дол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За кожною облігацією щорічно 15 липня сплачувався фіксований дохід у розмірі 5,5</w:t>
      </w:r>
      <w:r w:rsidR="00ED1F43" w:rsidRPr="00ED1F43">
        <w:rPr>
          <w:lang w:val="uk-UA"/>
        </w:rPr>
        <w:t>%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13,75 дол</w:t>
      </w:r>
      <w:r w:rsidR="00ED1F43" w:rsidRPr="00ED1F43">
        <w:rPr>
          <w:lang w:val="uk-UA"/>
        </w:rPr>
        <w:t xml:space="preserve">).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Лід-менеджером позики став англійський торговельний банк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merchant bank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S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G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Warburg &amp; Co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менеджерами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co-managers</w:t>
      </w:r>
      <w:r w:rsidR="00ED1F43" w:rsidRPr="00ED1F43">
        <w:rPr>
          <w:lang w:val="uk-UA"/>
        </w:rPr>
        <w:t xml:space="preserve">) - </w:t>
      </w:r>
      <w:r w:rsidRPr="00ED1F43">
        <w:rPr>
          <w:lang w:val="uk-UA"/>
        </w:rPr>
        <w:t>Banque de Bruxelles S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A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Deutsche Bank A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G</w:t>
      </w:r>
      <w:r w:rsidR="00ED1F43">
        <w:rPr>
          <w:lang w:val="uk-UA"/>
        </w:rPr>
        <w:t>.,</w:t>
      </w:r>
      <w:r w:rsidRPr="00ED1F43">
        <w:rPr>
          <w:lang w:val="uk-UA"/>
        </w:rPr>
        <w:t xml:space="preserve"> Rotterdamsche Bank N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V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Раніше подібна операція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щоб неамериканські фінансові установи проводили андеррайтинг цінних паперів у доларах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була немислимою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Лістинг було отримано на Лондонській фондовій біржі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В тому ж році було випущено єврооблігації в німецьких марках та швейцарських франках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Поява єврооблігацій пов’язана насамперед, з інтернаціоналізацією світового господарства та необхідністю забезпечити фінансові потреби транснаціональних корпорацій, передусім європейських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Поштовхом до розвитку цього ринку слугували обмеження, що були введені адміністрацією Д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Кеннеді у 1963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на використання іноземними позичальниками ринку капіталів США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Потреба в доступі до джерел капіталів була задоволена за рахунок випуску саме єврооблігацій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Можливість розміщення єврооблігацій, що спочатку були виражені маже виключно у доларах США, була обумовлена наявністю на рахунках європейських банків значних сум у доларах США</w:t>
      </w:r>
      <w:r w:rsidR="00ED1F43" w:rsidRPr="00ED1F43">
        <w:rPr>
          <w:lang w:val="uk-UA"/>
        </w:rPr>
        <w:t xml:space="preserve"> - </w:t>
      </w:r>
      <w:r w:rsidR="0022165A" w:rsidRPr="00ED1F43">
        <w:rPr>
          <w:lang w:val="uk-UA"/>
        </w:rPr>
        <w:t>так званих євродоларів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Тобто ринок євродоларів був джерелом фінансування ринку єврооблігацій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Розвиток ринку єврооблігацій тривалий час заважала відсутність ефективного вторинного ринку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Емісія облігацій у паперовій формі перешкоджала їх обігу та грошовим розрахункам</w:t>
      </w:r>
      <w:r w:rsidR="00ED1F43" w:rsidRPr="00ED1F43">
        <w:rPr>
          <w:lang w:val="uk-UA"/>
        </w:rPr>
        <w:t xml:space="preserve">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Проривом у формуванні вторинного ринку було створення американським банком</w:t>
      </w:r>
      <w:r w:rsidR="00ED1F43">
        <w:rPr>
          <w:lang w:val="uk-UA"/>
        </w:rPr>
        <w:t xml:space="preserve"> "</w:t>
      </w:r>
      <w:r w:rsidRPr="00ED1F43">
        <w:rPr>
          <w:lang w:val="uk-UA"/>
        </w:rPr>
        <w:t>Mor</w:t>
      </w:r>
      <w:r w:rsidR="0022165A" w:rsidRPr="00ED1F43">
        <w:rPr>
          <w:lang w:val="uk-UA"/>
        </w:rPr>
        <w:t>gan Guaranty</w:t>
      </w:r>
      <w:r w:rsidR="00ED1F43">
        <w:rPr>
          <w:lang w:val="uk-UA"/>
        </w:rPr>
        <w:t xml:space="preserve">" </w:t>
      </w:r>
      <w:r w:rsidR="0022165A" w:rsidRPr="00ED1F43">
        <w:rPr>
          <w:lang w:val="uk-UA"/>
        </w:rPr>
        <w:t>системи Euroclear</w:t>
      </w:r>
      <w:r w:rsidRPr="00ED1F43">
        <w:rPr>
          <w:lang w:val="uk-UA"/>
        </w:rPr>
        <w:t xml:space="preserve"> у Брюсселі в 1968 р</w:t>
      </w:r>
      <w:r w:rsidR="00ED1F43" w:rsidRPr="00ED1F43">
        <w:rPr>
          <w:lang w:val="uk-UA"/>
        </w:rPr>
        <w:t xml:space="preserve">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Сутність її полягала у створенні системи депозитаріїв у різних країнах світу для зберігання цінних паперів, а власникам цінних паперів видавалися свідоцтва про вклад та володіння цінними паперами</w:t>
      </w:r>
      <w:r w:rsidR="00ED1F43" w:rsidRPr="00ED1F43">
        <w:rPr>
          <w:lang w:val="uk-UA"/>
        </w:rPr>
        <w:t xml:space="preserve">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У результаті операції з купівлі-продажу єврооблігацій перестали вимагати фізичного переміщення цінних паперів, а являли собою лише передання сертифікатів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Зміна власника відображалась у записах на депонентських рахунках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Створення системи Euroclear у 1968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стало революцією на ринку облігацій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Якщо в момент створення кількість її учасників нараховувала 50 членів, то у 1973 р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уже 150, а в середині 80-х років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1450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У 1970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західноєвропейські інституції єврооблігаційного ринку створили свою систему клірингових розрахунків на ринку єврооблігацій зі штаб-квартирою в Люксембурзі, що має назву CEDEL</w:t>
      </w:r>
      <w:r w:rsidR="00ED1F43" w:rsidRPr="00ED1F43">
        <w:rPr>
          <w:lang w:val="uk-UA"/>
        </w:rPr>
        <w:t xml:space="preserve"> [</w:t>
      </w:r>
      <w:r w:rsidRPr="00ED1F43">
        <w:rPr>
          <w:lang w:val="uk-UA"/>
        </w:rPr>
        <w:t>4</w:t>
      </w:r>
      <w:r w:rsidR="00ED1F43" w:rsidRPr="00ED1F43">
        <w:rPr>
          <w:lang w:val="uk-UA"/>
        </w:rPr>
        <w:t>].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Переважна більшість єврооблігацій випускається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великими корпораціями приватного сектору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міжнародними організаціями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державними органами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У випадку, якщо єврооблігації випускаються урядовими агентствами чи місцевими органами влади, зазвичай потрібні урядові гарантії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Приблизно 2/3 всіх єврооблігаційних позик припадає на корпорації, решта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приблизно однаковими частинами на уряди, урядові організації та міжнародні організації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Найбільш поширеними методами розміщення єврооблігацій є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відкрита підписка серед необмеженого кола інвесторів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Public issue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приватне розміщення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Private placement</w:t>
      </w:r>
      <w:r w:rsidR="00ED1F43" w:rsidRPr="00ED1F43">
        <w:rPr>
          <w:lang w:val="uk-UA"/>
        </w:rPr>
        <w:t>).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Відкрита підписка здійснюється через гарантійний синдикат серед багатьох інвесторів у різних країнах світу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Подібні випуски майже завжди мають лістинг на біржі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Гарантійний синдикат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underwriting syndicate</w:t>
      </w:r>
      <w:r w:rsidR="00ED1F43" w:rsidRPr="00ED1F43">
        <w:rPr>
          <w:lang w:val="uk-UA"/>
        </w:rPr>
        <w:t xml:space="preserve">) - </w:t>
      </w:r>
      <w:r w:rsidRPr="00ED1F43">
        <w:rPr>
          <w:lang w:val="uk-UA"/>
        </w:rPr>
        <w:t>це група фінансових установ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здебільшого інвестиційних банків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що беруть на себе зобов’язання з розміщення нових випусків цінних паперів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Приватне розміщення націлене на невелику групу інвесторів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Такі облігації розміщуються незначною кількістю банків серед обмеженого кола інвесторів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без публічного оповіщення про позику</w:t>
      </w:r>
      <w:r w:rsidR="00ED1F43" w:rsidRPr="00ED1F43">
        <w:rPr>
          <w:lang w:val="uk-UA"/>
        </w:rPr>
        <w:t xml:space="preserve">).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Розміщення відбувається здебільшого серед інституційних інвесторів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Єврооблігації приватного розміщення можуть і не мати лістингу на фондовій біржі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Більша частина торгівлі єврооблігаціями здійснюється на позабіржовому ринку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Угоди укладаються по телефону, за допомогою спеціалізованих торговельних та комунікаційних мереж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Bloomberg, Reuters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а також через агентів, що спеціалізуються на наданні посередницьких послуг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Значна частина єврооблігацій входить до лістингу двох європейських фондових бірж</w:t>
      </w:r>
      <w:r w:rsidR="00ED1F43" w:rsidRPr="00ED1F43">
        <w:rPr>
          <w:lang w:val="uk-UA"/>
        </w:rPr>
        <w:t xml:space="preserve">: </w:t>
      </w:r>
      <w:r w:rsidRPr="00ED1F43">
        <w:rPr>
          <w:lang w:val="uk-UA"/>
        </w:rPr>
        <w:t>Лондонської або Люксембурзької</w:t>
      </w:r>
      <w:r w:rsidR="00ED1F43" w:rsidRPr="00ED1F43">
        <w:rPr>
          <w:lang w:val="uk-UA"/>
        </w:rPr>
        <w:t xml:space="preserve">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Згідно з директивою Комісії ЄС про лістинг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European Commission Listing Particulars Directive 80/390/EEC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до єврооблігацій та інших цінних паперів євроринку застосовуються спрощені правила лістингу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Це пов’язано з тим, що такі цінні папери купуються та продаються обмеженим колом організацій-професіоналів у галузі інвестування</w:t>
      </w:r>
      <w:r w:rsidR="00ED1F43" w:rsidRPr="00ED1F43">
        <w:rPr>
          <w:lang w:val="uk-UA"/>
        </w:rPr>
        <w:t>.</w:t>
      </w:r>
    </w:p>
    <w:p w:rsidR="005E3736" w:rsidRDefault="006821BD" w:rsidP="00ED1F43">
      <w:pPr>
        <w:rPr>
          <w:lang w:val="uk-UA"/>
        </w:rPr>
      </w:pPr>
      <w:r w:rsidRPr="00ED1F43">
        <w:rPr>
          <w:lang w:val="uk-UA"/>
        </w:rPr>
        <w:t>Єврооблігації зазвичай розміщуються шляхом підписки на них групи фінансових установ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на ринку єврооблігацій вони називаються менеджерами позики</w:t>
      </w:r>
      <w:r w:rsidR="00ED1F43" w:rsidRPr="00ED1F43">
        <w:rPr>
          <w:lang w:val="uk-UA"/>
        </w:rPr>
        <w:t xml:space="preserve">).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Випуск єврооблігацій здійснюють міжнародні синдикати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Класична організація випуску єврооблігацій складається з трьох етапів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Перший етап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Створення керуючого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емісійного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синдикату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Емітент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позичальник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обирає провідного менеджера, що називається лід-менеджером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lead-manager</w:t>
      </w:r>
      <w:r w:rsidR="00ED1F43" w:rsidRPr="00ED1F43">
        <w:rPr>
          <w:lang w:val="uk-UA"/>
        </w:rPr>
        <w:t xml:space="preserve">). </w:t>
      </w:r>
      <w:r w:rsidRPr="00ED1F43">
        <w:rPr>
          <w:lang w:val="uk-UA"/>
        </w:rPr>
        <w:t>Лід-менеджер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це банк, що є головним організатором та гарантом позики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емісії цінних паперів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і представляє інтереси членів си</w:t>
      </w:r>
      <w:r w:rsidR="0022165A" w:rsidRPr="00ED1F43">
        <w:rPr>
          <w:lang w:val="uk-UA"/>
        </w:rPr>
        <w:t>ндикату кредиторів та гарантів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Головний банк на першому етапі вивчає фінансовий стан позичальника, його перспективи, а також його потреби у фінансуванні з метою точнішого визначення основних параметрів емісії єврооблігацій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Провідний менеджер обговорює з емітентом умови випуску єврооблігацій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суму, на яку буде проведено емісію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термін позики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відсотки за купонами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вартість емісії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У разі необхідності лід-менеджер допомагає емітенту у підготовці проспекту емісії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Лід-менеджер також обирає співменеджерів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co-managers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позики залежно від їх місця на фінансовому ринку та можливостей із розміщення емісії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Співменеджери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це банки, що входять до групи організаторів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менеджерів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позики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На відміну від простих учасників синдикату, вони беруть участь в управлінні емісією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Співменеджери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члени групи менеджерів позики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беруть на себе умовне зобов’язання взяти на обслуговування встановлену номінальну частину позики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У середньому вона становить 40</w:t>
      </w:r>
      <w:r w:rsidR="00ED1F43" w:rsidRPr="00ED1F43">
        <w:rPr>
          <w:lang w:val="uk-UA"/>
        </w:rPr>
        <w:t>%</w:t>
      </w:r>
      <w:r w:rsidRPr="00ED1F43">
        <w:rPr>
          <w:lang w:val="uk-UA"/>
        </w:rPr>
        <w:t xml:space="preserve"> від загальної суми позики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Другий етап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Створення гарантійного синдикату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синдикату андеррайтерів</w:t>
      </w:r>
      <w:r w:rsidR="00ED1F43" w:rsidRPr="00ED1F43">
        <w:rPr>
          <w:lang w:val="uk-UA"/>
        </w:rPr>
        <w:t>).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Лід-менеджер обирає учасників майбутнього синдикату андеррайтерів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Члени гарантійного синдикату разом із членами керуючого синдикату підписують угоду про гарантії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андеррайтерську угоду</w:t>
      </w:r>
      <w:r w:rsidR="00ED1F43" w:rsidRPr="00ED1F43">
        <w:rPr>
          <w:lang w:val="uk-UA"/>
        </w:rPr>
        <w:t xml:space="preserve">). </w:t>
      </w:r>
      <w:r w:rsidRPr="00ED1F43">
        <w:rPr>
          <w:lang w:val="uk-UA"/>
        </w:rPr>
        <w:t>За цією угодою члени синдикату зобов’язуються підписатися на частину позики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Третій етап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Створення синдикату з розміщення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продажу</w:t>
      </w:r>
      <w:r w:rsidR="00ED1F43" w:rsidRPr="00ED1F43">
        <w:rPr>
          <w:lang w:val="uk-UA"/>
        </w:rPr>
        <w:t>).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На даному етапі утворюється нова група банків для створення синдикату з розміщення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selling group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основним завданням котрого є розміщення позики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проведення підписки на єврооблігації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серед приватних та державних інвесторів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Залучені до організації емісії єврооблігацій банки можуть одночасно виконувати всі три функції</w:t>
      </w:r>
      <w:r w:rsidR="00ED1F43" w:rsidRPr="00ED1F43">
        <w:rPr>
          <w:lang w:val="uk-UA"/>
        </w:rPr>
        <w:t xml:space="preserve">: </w:t>
      </w:r>
      <w:r w:rsidRPr="00ED1F43">
        <w:rPr>
          <w:lang w:val="uk-UA"/>
        </w:rPr>
        <w:t>керуючого, андеррайтера та агента з розміщення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Найбільш поширеним на сьогодні є об’єднання другого та третього етапів організації емісії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одночасне виконання менеджерами функцій андеррайтера та агента з розміщення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Окрім зазначених вище, у схемі організації емісії єврооблігацій існують також такі учасники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платіжний агент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paying agent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фінансовий агент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fiscal agent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довірена особа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trustee</w:t>
      </w:r>
      <w:r w:rsidR="00ED1F43" w:rsidRPr="00ED1F43">
        <w:rPr>
          <w:lang w:val="uk-UA"/>
        </w:rPr>
        <w:t>).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Платіжний агент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це банк, що уповноважений емітентом сплачувати відсотки власникам облігацій та проводити їх погашення після отримання грошей від емітента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Фінансовий агент</w:t>
      </w:r>
      <w:r w:rsidR="00ED1F43" w:rsidRPr="00ED1F43">
        <w:rPr>
          <w:lang w:val="uk-UA"/>
        </w:rPr>
        <w:t xml:space="preserve"> - </w:t>
      </w:r>
      <w:r w:rsidRPr="00ED1F43">
        <w:rPr>
          <w:lang w:val="uk-UA"/>
        </w:rPr>
        <w:t>це банк, що діє від імені позичальника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емітента облігацій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та проводить розподіл цінних паперів серед емітентів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Зазвичай функції платіжного та фінансового агентів виконує один банк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Деякі схеми єврооблігаційної позики передбачають існування довіреної особи, що діє в інтересах та від імені інвесторів за наявності будь-яких порушень в умовах позики з боку емітента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У цьому випадку обов’язково призначається платіжний агент, що діє від імені емітента облігацій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Комісійні, що сплачуються менеджерам єврооблігаційних позик, поділяються на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плату за управління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management fee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плату за андеррайтинг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underwriting fee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комісійні за розміщення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selling concession</w:t>
      </w:r>
      <w:r w:rsidR="00ED1F43" w:rsidRPr="00ED1F43">
        <w:rPr>
          <w:lang w:val="uk-UA"/>
        </w:rPr>
        <w:t>).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Комісійні відраховуються з вартості проданих облігацій кожним менеджером перед тим, як гроші буде перераховано лід-менеджеру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Плата за управління та андеррайтинг відраховуються лід-менеджером із тієї суми, що залишилася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Частка лід-менеджера у комісійних за управління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praecipium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відраховується ним із загальної суми комісійного винагородження менеджерам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Витрати на емісію єврооблігацій на міжнародному ринку становлять приблизно 2</w:t>
      </w:r>
      <w:r w:rsidR="00ED1F43" w:rsidRPr="00ED1F43">
        <w:rPr>
          <w:lang w:val="uk-UA"/>
        </w:rPr>
        <w:t>-</w:t>
      </w:r>
      <w:r w:rsidRPr="00ED1F43">
        <w:rPr>
          <w:lang w:val="uk-UA"/>
        </w:rPr>
        <w:t>2,5</w:t>
      </w:r>
      <w:r w:rsidR="00ED1F43" w:rsidRPr="00ED1F43">
        <w:rPr>
          <w:lang w:val="uk-UA"/>
        </w:rPr>
        <w:t>%</w:t>
      </w:r>
      <w:r w:rsidRPr="00ED1F43">
        <w:rPr>
          <w:lang w:val="uk-UA"/>
        </w:rPr>
        <w:t xml:space="preserve"> від її вартості та є нижчими за вартість випуску подібних облігацій на національному ринку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Вартість емісії, у свою чергу, визначається такими факторами, як розмір емісії, валюта позики, термін платежу та дата випуску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Традиційне розміщення єврооблігацій базується на трьох основних датах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оголошення про випуск єврооблігацій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підписання остаточних умов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початок розміщення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дата закінчення розміщення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У 1990-ті роки стандартною схемою розміщення єврооблігацій була так звана куплена угода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bought deal</w:t>
      </w:r>
      <w:r w:rsidR="00ED1F43" w:rsidRPr="00ED1F43">
        <w:rPr>
          <w:lang w:val="uk-UA"/>
        </w:rPr>
        <w:t xml:space="preserve">). </w:t>
      </w:r>
      <w:r w:rsidRPr="00ED1F43">
        <w:rPr>
          <w:lang w:val="uk-UA"/>
        </w:rPr>
        <w:t>Це означає, що лід-менеджер купує всі цінні папери в емітента на умовах, що було встановлено до оголошення про випуск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Під умовами розуміють такі показники</w:t>
      </w:r>
      <w:r w:rsidR="00ED1F43" w:rsidRPr="00ED1F43">
        <w:rPr>
          <w:lang w:val="uk-UA"/>
        </w:rPr>
        <w:t xml:space="preserve">: </w:t>
      </w:r>
      <w:r w:rsidRPr="00ED1F43">
        <w:rPr>
          <w:lang w:val="uk-UA"/>
        </w:rPr>
        <w:t>обсяг емісії, купонна ставка та ціна розміщення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Практика використання методу</w:t>
      </w:r>
      <w:r w:rsidR="00ED1F43">
        <w:rPr>
          <w:lang w:val="uk-UA"/>
        </w:rPr>
        <w:t xml:space="preserve"> "</w:t>
      </w:r>
      <w:r w:rsidRPr="00ED1F43">
        <w:rPr>
          <w:lang w:val="uk-UA"/>
        </w:rPr>
        <w:t>купленої угоди</w:t>
      </w:r>
      <w:r w:rsidR="00ED1F43">
        <w:rPr>
          <w:lang w:val="uk-UA"/>
        </w:rPr>
        <w:t xml:space="preserve">" </w:t>
      </w:r>
      <w:r w:rsidRPr="00ED1F43">
        <w:rPr>
          <w:lang w:val="uk-UA"/>
        </w:rPr>
        <w:t>виникла у зв’язку зі збільшенням фінансової потужності банків, що здійснюють розміщення єврооблігацій, а також посиленням конкуренції між ними</w:t>
      </w:r>
      <w:r w:rsidR="00ED1F43" w:rsidRPr="00ED1F43">
        <w:rPr>
          <w:lang w:val="uk-UA"/>
        </w:rPr>
        <w:t xml:space="preserve">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Подібна схема розміщення означає зменшення ролі андеррайтерів та агентів із розміщення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Першу</w:t>
      </w:r>
      <w:r w:rsidR="00ED1F43">
        <w:rPr>
          <w:lang w:val="uk-UA"/>
        </w:rPr>
        <w:t xml:space="preserve"> "</w:t>
      </w:r>
      <w:r w:rsidRPr="00ED1F43">
        <w:rPr>
          <w:lang w:val="uk-UA"/>
        </w:rPr>
        <w:t>куплену угоду</w:t>
      </w:r>
      <w:r w:rsidR="00ED1F43">
        <w:rPr>
          <w:lang w:val="uk-UA"/>
        </w:rPr>
        <w:t xml:space="preserve">" </w:t>
      </w:r>
      <w:r w:rsidRPr="00ED1F43">
        <w:rPr>
          <w:lang w:val="uk-UA"/>
        </w:rPr>
        <w:t>було проведено у квітні 1980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інвестиційним банком Credit Suisse First Boston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CSFB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котрий купив весь єврооблігаційний випуск корпорації General Motors Acceptance Corporation на суму 100 млн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дол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і тільки після цього організував синдикат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Професійні учасники ринку, які виступають у ролі менеджерів, об’єднались у Міжнародну асоціацію учасників первинного ринку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International Primary Market Association, IPMA</w:t>
      </w:r>
      <w:r w:rsidR="00ED1F43" w:rsidRPr="00ED1F43">
        <w:rPr>
          <w:lang w:val="uk-UA"/>
        </w:rPr>
        <w:t xml:space="preserve">). 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Члени асоціації розробили ряд правил щодо технології розміщення цінних паперів на міжнародному ринку, а також стандартні форми документів</w:t>
      </w:r>
      <w:r w:rsidR="00ED1F43" w:rsidRPr="00ED1F43">
        <w:rPr>
          <w:lang w:val="uk-UA"/>
        </w:rPr>
        <w:t xml:space="preserve">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Вважається, що члени емісійного синдикату, котрі є членами IPMA, діють відповідно до правил асоціації</w:t>
      </w:r>
      <w:r w:rsidR="00ED1F43" w:rsidRPr="00ED1F43">
        <w:rPr>
          <w:lang w:val="uk-UA"/>
        </w:rPr>
        <w:t>.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Облігації міжнародного ринку можна поділити на категорії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облігації з фіксованою ставкою процента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Найбільш поширеним інструментом даної категорії є проста облігація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straight bond</w:t>
      </w:r>
      <w:r w:rsidR="00ED1F43" w:rsidRPr="00ED1F43">
        <w:rPr>
          <w:lang w:val="uk-UA"/>
        </w:rPr>
        <w:t xml:space="preserve">) - </w:t>
      </w:r>
      <w:r w:rsidRPr="00ED1F43">
        <w:rPr>
          <w:lang w:val="uk-UA"/>
        </w:rPr>
        <w:t>облігація з фіксованою відсотковою ставкою, без права дострокового погашення та конвертації в акції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Прості облігації мають серії щорічних купонів та називаються також</w:t>
      </w:r>
      <w:r w:rsidR="00ED1F43">
        <w:rPr>
          <w:lang w:val="uk-UA"/>
        </w:rPr>
        <w:t xml:space="preserve"> "</w:t>
      </w:r>
      <w:r w:rsidRPr="00ED1F43">
        <w:rPr>
          <w:lang w:val="uk-UA"/>
        </w:rPr>
        <w:t>plain vanilla</w:t>
      </w:r>
      <w:r w:rsidR="00ED1F43">
        <w:rPr>
          <w:lang w:val="uk-UA"/>
        </w:rPr>
        <w:t>" (</w:t>
      </w:r>
      <w:r w:rsidRPr="00ED1F43">
        <w:rPr>
          <w:lang w:val="uk-UA"/>
        </w:rPr>
        <w:t>простий, без особливих умов та додаткових елементів</w:t>
      </w:r>
      <w:r w:rsidR="00ED1F43" w:rsidRPr="00ED1F43">
        <w:rPr>
          <w:lang w:val="uk-UA"/>
        </w:rPr>
        <w:t>);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облігації з плаваючою купонною ставкою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Найпоширенішим інструментом цієї категорії є нота з плаваючою ставкою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floating rate note, FRN</w:t>
      </w:r>
      <w:r w:rsidR="00ED1F43" w:rsidRPr="00ED1F43">
        <w:rPr>
          <w:lang w:val="uk-UA"/>
        </w:rPr>
        <w:t xml:space="preserve">). </w:t>
      </w:r>
      <w:r w:rsidRPr="00ED1F43">
        <w:rPr>
          <w:lang w:val="uk-UA"/>
        </w:rPr>
        <w:t>Це облігації, купонні платежі за якими один раз на шість місяців установлюються на рівні найбільш відомої та репрезентативної процентної ставки грошового ринку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зазвичай ЛІБОР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плюс/мінус певна маржа, що визначається ступенем ризику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облігації, що пов’язані з акціями емітента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Ця категорія поділяється ще на два класи</w:t>
      </w:r>
      <w:r w:rsidR="00ED1F43" w:rsidRPr="00ED1F43">
        <w:rPr>
          <w:lang w:val="uk-UA"/>
        </w:rPr>
        <w:t>: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конвертовані облігації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convertible bonds</w:t>
      </w:r>
      <w:r w:rsidR="00ED1F43" w:rsidRPr="00ED1F43">
        <w:rPr>
          <w:lang w:val="uk-UA"/>
        </w:rPr>
        <w:t xml:space="preserve">). </w:t>
      </w:r>
      <w:r w:rsidRPr="00ED1F43">
        <w:rPr>
          <w:lang w:val="uk-UA"/>
        </w:rPr>
        <w:t>Це облігації, які за бажанням інвестора можуть бути конвертовані у прості акції того самого емітента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Майже не відрізняються від конвертованих облігацій обмінні облігації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exchangeable bonds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що можуть бути конвертовані в акції іншого емітента</w:t>
      </w:r>
      <w:r w:rsidR="00ED1F43" w:rsidRPr="00ED1F43">
        <w:rPr>
          <w:lang w:val="uk-UA"/>
        </w:rPr>
        <w:t>;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облігації з варантами на акції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debt with warrant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що дають право на придбання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купівлю</w:t>
      </w:r>
      <w:r w:rsidR="00ED1F43" w:rsidRPr="00ED1F43">
        <w:rPr>
          <w:lang w:val="uk-UA"/>
        </w:rPr>
        <w:t xml:space="preserve">) </w:t>
      </w:r>
      <w:r w:rsidRPr="00ED1F43">
        <w:rPr>
          <w:lang w:val="uk-UA"/>
        </w:rPr>
        <w:t>акцій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На відміну від конвертованих облігацій, облігації з варантом на акції завжди сплачуються незалежно від того, чи використано право на підписку</w:t>
      </w:r>
      <w:r w:rsidR="00ED1F43" w:rsidRPr="00ED1F43">
        <w:rPr>
          <w:lang w:val="uk-UA"/>
        </w:rPr>
        <w:t>.</w:t>
      </w:r>
    </w:p>
    <w:p w:rsidR="00F35DC7" w:rsidRDefault="006821BD" w:rsidP="00ED1F43">
      <w:pPr>
        <w:rPr>
          <w:lang w:val="uk-UA"/>
        </w:rPr>
      </w:pPr>
      <w:r w:rsidRPr="00ED1F43">
        <w:rPr>
          <w:lang w:val="uk-UA"/>
        </w:rPr>
        <w:t>Щодо структури складових ринку, то станом на кінець 1994 р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більше 76</w:t>
      </w:r>
      <w:r w:rsidR="00ED1F43" w:rsidRPr="00ED1F43">
        <w:rPr>
          <w:lang w:val="uk-UA"/>
        </w:rPr>
        <w:t>%</w:t>
      </w:r>
      <w:r w:rsidRPr="00ED1F43">
        <w:rPr>
          <w:lang w:val="uk-UA"/>
        </w:rPr>
        <w:t xml:space="preserve"> загального обсягу заборгованості за єврооблігаціями припадало на прості облігації з фіксованою відсотковою ставкою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1562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</w:t>
      </w:r>
      <w:r w:rsidR="00ED1F43">
        <w:rPr>
          <w:lang w:val="uk-UA"/>
        </w:rPr>
        <w:t>дол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із 2048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</w:t>
      </w:r>
      <w:r w:rsidR="00ED1F43">
        <w:rPr>
          <w:lang w:val="uk-UA"/>
        </w:rPr>
        <w:t>дол.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частка облігацій із плаваючою ставкою становила 15</w:t>
      </w:r>
      <w:r w:rsidR="00ED1F43" w:rsidRPr="00ED1F43">
        <w:rPr>
          <w:lang w:val="uk-UA"/>
        </w:rPr>
        <w:t>%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303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</w:t>
      </w:r>
      <w:r w:rsidR="00ED1F43">
        <w:rPr>
          <w:lang w:val="uk-UA"/>
        </w:rPr>
        <w:t>дол.</w:t>
      </w:r>
      <w:r w:rsidR="00ED1F43" w:rsidRPr="00ED1F43">
        <w:rPr>
          <w:lang w:val="uk-UA"/>
        </w:rPr>
        <w:t>),</w:t>
      </w:r>
      <w:r w:rsidRPr="00ED1F43">
        <w:rPr>
          <w:lang w:val="uk-UA"/>
        </w:rPr>
        <w:t xml:space="preserve"> а на конвертовані облігації та облігації з вар</w:t>
      </w:r>
      <w:r w:rsidR="00F35DC7">
        <w:rPr>
          <w:lang w:val="uk-UA"/>
        </w:rPr>
        <w:t>і</w:t>
      </w:r>
      <w:r w:rsidRPr="00ED1F43">
        <w:rPr>
          <w:lang w:val="uk-UA"/>
        </w:rPr>
        <w:t>антом припадало лише 9</w:t>
      </w:r>
      <w:r w:rsidR="00ED1F43" w:rsidRPr="00ED1F43">
        <w:rPr>
          <w:lang w:val="uk-UA"/>
        </w:rPr>
        <w:t>%</w:t>
      </w:r>
      <w:r w:rsidRPr="00ED1F43">
        <w:rPr>
          <w:lang w:val="uk-UA"/>
        </w:rPr>
        <w:t xml:space="preserve"> загальної заборгованості</w:t>
      </w:r>
      <w:r w:rsidR="00ED1F43">
        <w:rPr>
          <w:lang w:val="uk-UA"/>
        </w:rPr>
        <w:t xml:space="preserve"> (</w:t>
      </w:r>
      <w:r w:rsidRPr="00ED1F43">
        <w:rPr>
          <w:lang w:val="uk-UA"/>
        </w:rPr>
        <w:t>183 млрд</w:t>
      </w:r>
      <w:r w:rsidR="00ED1F43">
        <w:rPr>
          <w:lang w:val="uk-UA"/>
        </w:rPr>
        <w:t>.</w:t>
      </w:r>
      <w:r w:rsidRPr="00ED1F43">
        <w:rPr>
          <w:lang w:val="uk-UA"/>
        </w:rPr>
        <w:t xml:space="preserve"> </w:t>
      </w:r>
      <w:r w:rsidR="00ED1F43">
        <w:rPr>
          <w:lang w:val="uk-UA"/>
        </w:rPr>
        <w:t>дол.</w:t>
      </w:r>
      <w:r w:rsidR="00ED1F43" w:rsidRPr="00ED1F43">
        <w:rPr>
          <w:lang w:val="uk-UA"/>
        </w:rPr>
        <w:t xml:space="preserve">). </w:t>
      </w:r>
    </w:p>
    <w:p w:rsidR="00ED1F43" w:rsidRDefault="006821BD" w:rsidP="00ED1F43">
      <w:pPr>
        <w:rPr>
          <w:lang w:val="uk-UA"/>
        </w:rPr>
      </w:pPr>
      <w:r w:rsidRPr="00ED1F43">
        <w:rPr>
          <w:lang w:val="uk-UA"/>
        </w:rPr>
        <w:t>Подібна структура євроемісій була обумовлена відносною стабільністю фінансового ринку протягом 1980-х років</w:t>
      </w:r>
      <w:r w:rsidR="00ED1F43" w:rsidRPr="00ED1F43">
        <w:rPr>
          <w:lang w:val="uk-UA"/>
        </w:rPr>
        <w:t>.</w:t>
      </w:r>
    </w:p>
    <w:p w:rsidR="00ED1F43" w:rsidRDefault="00ED1F43" w:rsidP="00ED1F43">
      <w:pPr>
        <w:pStyle w:val="2"/>
        <w:rPr>
          <w:lang w:val="uk-UA"/>
        </w:rPr>
      </w:pPr>
      <w:r w:rsidRPr="00ED1F43">
        <w:rPr>
          <w:lang w:val="uk-UA"/>
        </w:rPr>
        <w:br w:type="page"/>
      </w:r>
      <w:r w:rsidR="009A0C7F" w:rsidRPr="00ED1F43">
        <w:t xml:space="preserve">Список </w:t>
      </w:r>
      <w:r w:rsidR="009A0C7F" w:rsidRPr="00ED1F43">
        <w:rPr>
          <w:lang w:val="uk-UA"/>
        </w:rPr>
        <w:t>використаної</w:t>
      </w:r>
      <w:r w:rsidR="009A0C7F" w:rsidRPr="00ED1F43">
        <w:t xml:space="preserve"> </w:t>
      </w:r>
      <w:r w:rsidR="009A0C7F" w:rsidRPr="00ED1F43">
        <w:rPr>
          <w:lang w:val="uk-UA"/>
        </w:rPr>
        <w:t>літератури</w:t>
      </w:r>
    </w:p>
    <w:p w:rsidR="006F1E8C" w:rsidRPr="006F1E8C" w:rsidRDefault="006F1E8C" w:rsidP="006F1E8C">
      <w:pPr>
        <w:rPr>
          <w:lang w:val="uk-UA"/>
        </w:rPr>
      </w:pPr>
    </w:p>
    <w:p w:rsidR="00ED1F43" w:rsidRDefault="009A0C7F" w:rsidP="006F1E8C">
      <w:pPr>
        <w:ind w:firstLine="0"/>
      </w:pPr>
      <w:r w:rsidRPr="00ED1F43">
        <w:t xml:space="preserve">Бураковсъкий </w:t>
      </w:r>
      <w:r w:rsidRPr="00ED1F43">
        <w:rPr>
          <w:lang w:val="uk-UA"/>
        </w:rPr>
        <w:t>І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Теорія міжнародної торгівлі</w:t>
      </w:r>
      <w:r w:rsidR="00ED1F43" w:rsidRPr="00ED1F43">
        <w:rPr>
          <w:lang w:val="uk-UA"/>
        </w:rPr>
        <w:t>.</w:t>
      </w:r>
      <w:r w:rsidR="00ED1F43">
        <w:rPr>
          <w:lang w:val="uk-UA"/>
        </w:rPr>
        <w:t xml:space="preserve"> - </w:t>
      </w:r>
      <w:r w:rsidRPr="00ED1F43">
        <w:t>К</w:t>
      </w:r>
      <w:r w:rsidR="00ED1F43">
        <w:t>.:</w:t>
      </w:r>
      <w:r w:rsidR="00ED1F43" w:rsidRPr="00ED1F43">
        <w:t xml:space="preserve"> </w:t>
      </w:r>
      <w:r w:rsidRPr="00ED1F43">
        <w:rPr>
          <w:lang w:val="uk-UA"/>
        </w:rPr>
        <w:t xml:space="preserve">Основи, </w:t>
      </w:r>
      <w:r w:rsidRPr="00ED1F43">
        <w:t>2000</w:t>
      </w:r>
      <w:r w:rsidR="00ED1F43" w:rsidRPr="00ED1F43">
        <w:t>.</w:t>
      </w:r>
    </w:p>
    <w:p w:rsidR="00ED1F43" w:rsidRDefault="009A0C7F" w:rsidP="006F1E8C">
      <w:pPr>
        <w:ind w:firstLine="0"/>
      </w:pPr>
      <w:r w:rsidRPr="00ED1F43">
        <w:t>Герчикова И</w:t>
      </w:r>
      <w:r w:rsidR="00ED1F43">
        <w:t xml:space="preserve">.Н. </w:t>
      </w:r>
      <w:r w:rsidRPr="00ED1F43">
        <w:t>Международное коммерческое дело</w:t>
      </w:r>
      <w:r w:rsidR="00ED1F43" w:rsidRPr="00ED1F43">
        <w:t xml:space="preserve">. </w:t>
      </w:r>
      <w:r w:rsidRPr="00ED1F43">
        <w:t>Практикум</w:t>
      </w:r>
      <w:r w:rsidR="00ED1F43" w:rsidRPr="00ED1F43">
        <w:t>. -</w:t>
      </w:r>
      <w:r w:rsidR="00ED1F43">
        <w:t xml:space="preserve"> </w:t>
      </w:r>
      <w:r w:rsidRPr="00ED1F43">
        <w:t>М</w:t>
      </w:r>
      <w:r w:rsidR="00ED1F43">
        <w:t>.:</w:t>
      </w:r>
      <w:r w:rsidR="00ED1F43" w:rsidRPr="00ED1F43">
        <w:t xml:space="preserve"> </w:t>
      </w:r>
      <w:r w:rsidRPr="00ED1F43">
        <w:t>ЮНИТИ, 1999</w:t>
      </w:r>
      <w:r w:rsidR="00ED1F43" w:rsidRPr="00ED1F43">
        <w:t>.</w:t>
      </w:r>
    </w:p>
    <w:p w:rsidR="00ED1F43" w:rsidRDefault="009A0C7F" w:rsidP="006F1E8C">
      <w:pPr>
        <w:ind w:firstLine="0"/>
      </w:pPr>
      <w:r w:rsidRPr="00ED1F43">
        <w:t>Грис Т</w:t>
      </w:r>
      <w:r w:rsidR="00ED1F43">
        <w:t>.,</w:t>
      </w:r>
      <w:r w:rsidRPr="00ED1F43">
        <w:t xml:space="preserve"> Леусский А</w:t>
      </w:r>
      <w:r w:rsidR="00ED1F43">
        <w:t>.,</w:t>
      </w:r>
      <w:r w:rsidRPr="00ED1F43">
        <w:t xml:space="preserve"> Лозовская Е</w:t>
      </w:r>
      <w:r w:rsidR="00ED1F43" w:rsidRPr="00ED1F43">
        <w:t xml:space="preserve">. </w:t>
      </w:r>
      <w:r w:rsidRPr="00ED1F43">
        <w:t>Мировая экономика / Под общ</w:t>
      </w:r>
      <w:r w:rsidR="00ED1F43" w:rsidRPr="00ED1F43">
        <w:t xml:space="preserve">. </w:t>
      </w:r>
      <w:r w:rsidRPr="00ED1F43">
        <w:t>ред</w:t>
      </w:r>
      <w:r w:rsidR="00ED1F43">
        <w:t xml:space="preserve">.Л.С. </w:t>
      </w:r>
      <w:r w:rsidRPr="00ED1F43">
        <w:t>Тарасовича</w:t>
      </w:r>
      <w:r w:rsidR="00ED1F43" w:rsidRPr="00ED1F43">
        <w:t>. -</w:t>
      </w:r>
      <w:r w:rsidR="00ED1F43">
        <w:t xml:space="preserve"> </w:t>
      </w:r>
      <w:r w:rsidRPr="00ED1F43">
        <w:t>СПб</w:t>
      </w:r>
      <w:r w:rsidR="00ED1F43">
        <w:t>.:</w:t>
      </w:r>
      <w:r w:rsidR="00ED1F43" w:rsidRPr="00ED1F43">
        <w:t xml:space="preserve"> </w:t>
      </w:r>
      <w:r w:rsidRPr="00ED1F43">
        <w:t>ПИТЕР, 2001</w:t>
      </w:r>
      <w:r w:rsidR="00ED1F43" w:rsidRPr="00ED1F43"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Лютий І</w:t>
      </w:r>
      <w:r w:rsidR="00ED1F43">
        <w:rPr>
          <w:lang w:val="uk-UA"/>
        </w:rPr>
        <w:t xml:space="preserve">.О. </w:t>
      </w:r>
      <w:r w:rsidRPr="00ED1F43">
        <w:rPr>
          <w:lang w:val="uk-UA"/>
        </w:rPr>
        <w:t>Грошово-кредитна політика та особливості її реалізації в Україні</w:t>
      </w:r>
      <w:r w:rsidR="00ED1F43">
        <w:rPr>
          <w:lang w:val="uk-UA"/>
        </w:rPr>
        <w:t xml:space="preserve"> // </w:t>
      </w:r>
      <w:r w:rsidRPr="00ED1F43">
        <w:rPr>
          <w:lang w:val="uk-UA"/>
        </w:rPr>
        <w:t>Фінанси України</w:t>
      </w:r>
      <w:r w:rsidR="00ED1F43">
        <w:rPr>
          <w:lang w:val="uk-UA"/>
        </w:rPr>
        <w:t>. 20</w:t>
      </w:r>
      <w:r w:rsidRPr="00ED1F43">
        <w:rPr>
          <w:lang w:val="uk-UA"/>
        </w:rPr>
        <w:t>00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№ 1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</w:t>
      </w:r>
      <w:r w:rsidR="00ED1F43">
        <w:rPr>
          <w:lang w:val="uk-UA"/>
        </w:rPr>
        <w:t>.2</w:t>
      </w:r>
      <w:r w:rsidRPr="00ED1F43">
        <w:rPr>
          <w:lang w:val="uk-UA"/>
        </w:rPr>
        <w:t>3-24</w:t>
      </w:r>
      <w:r w:rsidR="00ED1F43" w:rsidRPr="00ED1F43">
        <w:rPr>
          <w:lang w:val="uk-UA"/>
        </w:rPr>
        <w:t>.</w:t>
      </w:r>
    </w:p>
    <w:p w:rsidR="00ED1F43" w:rsidRDefault="009A0C7F" w:rsidP="006F1E8C">
      <w:pPr>
        <w:ind w:firstLine="0"/>
      </w:pPr>
      <w:r w:rsidRPr="00ED1F43">
        <w:t>Международные экономические отношения / Под ред</w:t>
      </w:r>
      <w:r w:rsidR="00ED1F43">
        <w:t xml:space="preserve">.В. </w:t>
      </w:r>
      <w:r w:rsidRPr="00ED1F43">
        <w:t>Рыбалкина</w:t>
      </w:r>
      <w:r w:rsidR="00ED1F43" w:rsidRPr="00ED1F43">
        <w:t>. -</w:t>
      </w:r>
      <w:r w:rsidR="00ED1F43">
        <w:t xml:space="preserve"> </w:t>
      </w:r>
      <w:r w:rsidRPr="00ED1F43">
        <w:t>М</w:t>
      </w:r>
      <w:r w:rsidR="00ED1F43" w:rsidRPr="00ED1F43">
        <w:t>., 19</w:t>
      </w:r>
      <w:r w:rsidRPr="00ED1F43">
        <w:t>97</w:t>
      </w:r>
      <w:r w:rsidR="00ED1F43" w:rsidRPr="00ED1F43"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Найденов В</w:t>
      </w:r>
      <w:r w:rsidR="00ED1F43">
        <w:rPr>
          <w:lang w:val="uk-UA"/>
        </w:rPr>
        <w:t xml:space="preserve">.С., </w:t>
      </w:r>
      <w:r w:rsidRPr="00ED1F43">
        <w:rPr>
          <w:lang w:val="uk-UA"/>
        </w:rPr>
        <w:t>Сменковский А</w:t>
      </w:r>
      <w:r w:rsidR="00ED1F43">
        <w:rPr>
          <w:lang w:val="uk-UA"/>
        </w:rPr>
        <w:t xml:space="preserve">.Ю. </w:t>
      </w:r>
      <w:r w:rsidRPr="00ED1F43">
        <w:rPr>
          <w:lang w:val="uk-UA"/>
        </w:rPr>
        <w:t>Инфляция и монетаризм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Уроки антикризисной политики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К</w:t>
      </w:r>
      <w:r w:rsidR="00ED1F43">
        <w:rPr>
          <w:lang w:val="uk-UA"/>
        </w:rPr>
        <w:t>.:</w:t>
      </w:r>
      <w:r w:rsidR="00ED1F43" w:rsidRPr="00ED1F43">
        <w:rPr>
          <w:lang w:val="uk-UA"/>
        </w:rPr>
        <w:t xml:space="preserve"> </w:t>
      </w:r>
      <w:r w:rsidRPr="00ED1F43">
        <w:rPr>
          <w:lang w:val="uk-UA"/>
        </w:rPr>
        <w:t>ОАО БЦКФ, 2003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</w:t>
      </w:r>
      <w:r w:rsidR="00ED1F43">
        <w:rPr>
          <w:lang w:val="uk-UA"/>
        </w:rPr>
        <w:t>.1</w:t>
      </w:r>
      <w:r w:rsidRPr="00ED1F43">
        <w:rPr>
          <w:lang w:val="uk-UA"/>
        </w:rPr>
        <w:t>2-13</w:t>
      </w:r>
      <w:r w:rsidR="00ED1F43" w:rsidRPr="00ED1F43">
        <w:rPr>
          <w:lang w:val="uk-UA"/>
        </w:rPr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Побединська В</w:t>
      </w:r>
      <w:r w:rsidR="00ED1F43">
        <w:rPr>
          <w:lang w:val="uk-UA"/>
        </w:rPr>
        <w:t xml:space="preserve">.О. </w:t>
      </w:r>
      <w:r w:rsidRPr="00ED1F43">
        <w:rPr>
          <w:lang w:val="uk-UA"/>
        </w:rPr>
        <w:t>Державний борг і шляхи його оптимізації</w:t>
      </w:r>
      <w:r w:rsidR="00ED1F43">
        <w:rPr>
          <w:lang w:val="uk-UA"/>
        </w:rPr>
        <w:t xml:space="preserve"> // </w:t>
      </w:r>
      <w:r w:rsidRPr="00ED1F43">
        <w:rPr>
          <w:lang w:val="uk-UA"/>
        </w:rPr>
        <w:t>Фінанси України</w:t>
      </w:r>
      <w:r w:rsidR="00ED1F43">
        <w:rPr>
          <w:lang w:val="uk-UA"/>
        </w:rPr>
        <w:t>. 19</w:t>
      </w:r>
      <w:r w:rsidRPr="00ED1F43">
        <w:rPr>
          <w:lang w:val="uk-UA"/>
        </w:rPr>
        <w:t>99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№ 7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С</w:t>
      </w:r>
      <w:r w:rsidR="00ED1F43">
        <w:rPr>
          <w:lang w:val="uk-UA"/>
        </w:rPr>
        <w:t>.1</w:t>
      </w:r>
      <w:r w:rsidRPr="00ED1F43">
        <w:rPr>
          <w:lang w:val="uk-UA"/>
        </w:rPr>
        <w:t>08-110</w:t>
      </w:r>
      <w:r w:rsidR="00ED1F43" w:rsidRPr="00ED1F43">
        <w:rPr>
          <w:lang w:val="uk-UA"/>
        </w:rPr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Світова економіка</w:t>
      </w:r>
      <w:r w:rsidR="00ED1F43" w:rsidRPr="00ED1F43">
        <w:rPr>
          <w:lang w:val="uk-UA"/>
        </w:rPr>
        <w:t xml:space="preserve">: </w:t>
      </w:r>
      <w:r w:rsidRPr="00ED1F43">
        <w:rPr>
          <w:lang w:val="uk-UA"/>
        </w:rPr>
        <w:t>Підручник / А</w:t>
      </w:r>
      <w:r w:rsidR="00ED1F43">
        <w:rPr>
          <w:lang w:val="uk-UA"/>
        </w:rPr>
        <w:t xml:space="preserve">.С. </w:t>
      </w:r>
      <w:r w:rsidRPr="00ED1F43">
        <w:rPr>
          <w:lang w:val="uk-UA"/>
        </w:rPr>
        <w:t>Філіпченко, О</w:t>
      </w:r>
      <w:r w:rsidR="00ED1F43">
        <w:rPr>
          <w:lang w:val="uk-UA"/>
        </w:rPr>
        <w:t xml:space="preserve">.І. </w:t>
      </w:r>
      <w:r w:rsidRPr="00ED1F43">
        <w:rPr>
          <w:lang w:val="uk-UA"/>
        </w:rPr>
        <w:t>Рогач, О</w:t>
      </w:r>
      <w:r w:rsidR="00ED1F43">
        <w:rPr>
          <w:lang w:val="uk-UA"/>
        </w:rPr>
        <w:t xml:space="preserve">.І. </w:t>
      </w:r>
      <w:r w:rsidRPr="00ED1F43">
        <w:rPr>
          <w:lang w:val="uk-UA"/>
        </w:rPr>
        <w:t>Шнирков та ін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К</w:t>
      </w:r>
      <w:r w:rsidR="00ED1F43">
        <w:rPr>
          <w:lang w:val="uk-UA"/>
        </w:rPr>
        <w:t>.:</w:t>
      </w:r>
      <w:r w:rsidR="00ED1F43" w:rsidRPr="00ED1F43">
        <w:rPr>
          <w:lang w:val="uk-UA"/>
        </w:rPr>
        <w:t xml:space="preserve"> </w:t>
      </w:r>
      <w:r w:rsidRPr="00ED1F43">
        <w:rPr>
          <w:lang w:val="uk-UA"/>
        </w:rPr>
        <w:t>Либідь, 2000</w:t>
      </w:r>
      <w:r w:rsidR="00ED1F43" w:rsidRPr="00ED1F43">
        <w:rPr>
          <w:lang w:val="uk-UA"/>
        </w:rPr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Соловйова О</w:t>
      </w:r>
      <w:r w:rsidR="00ED1F43">
        <w:rPr>
          <w:lang w:val="uk-UA"/>
        </w:rPr>
        <w:t xml:space="preserve">.А. </w:t>
      </w:r>
      <w:r w:rsidRPr="00ED1F43">
        <w:rPr>
          <w:lang w:val="uk-UA"/>
        </w:rPr>
        <w:t>Перспективи розвитку страхування у сфері зовнішньоекономічної діяльності</w:t>
      </w:r>
      <w:r w:rsidR="00ED1F43" w:rsidRPr="00ED1F43">
        <w:rPr>
          <w:lang w:val="uk-UA"/>
        </w:rPr>
        <w:t>.</w:t>
      </w:r>
      <w:r w:rsidR="00ED1F43">
        <w:rPr>
          <w:lang w:val="uk-UA"/>
        </w:rPr>
        <w:t xml:space="preserve"> // </w:t>
      </w:r>
      <w:r w:rsidRPr="00ED1F43">
        <w:rPr>
          <w:lang w:val="uk-UA"/>
        </w:rPr>
        <w:t>Фінанси Україїни</w:t>
      </w:r>
      <w:r w:rsidR="00ED1F43" w:rsidRPr="00ED1F43">
        <w:rPr>
          <w:lang w:val="uk-UA"/>
        </w:rPr>
        <w:t xml:space="preserve">. </w:t>
      </w:r>
      <w:r w:rsidR="00ED1F43">
        <w:rPr>
          <w:lang w:val="uk-UA"/>
        </w:rPr>
        <w:t>-</w:t>
      </w:r>
      <w:r w:rsidRPr="00ED1F43">
        <w:rPr>
          <w:lang w:val="uk-UA"/>
        </w:rPr>
        <w:t xml:space="preserve"> 2006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№5</w:t>
      </w:r>
      <w:r w:rsidR="00ED1F43" w:rsidRPr="00ED1F43">
        <w:rPr>
          <w:lang w:val="uk-UA"/>
        </w:rPr>
        <w:t xml:space="preserve">. </w:t>
      </w:r>
      <w:r w:rsidR="00ED1F43">
        <w:rPr>
          <w:lang w:val="uk-UA"/>
        </w:rPr>
        <w:t>-</w:t>
      </w:r>
      <w:r w:rsidRPr="00ED1F43">
        <w:rPr>
          <w:lang w:val="uk-UA"/>
        </w:rPr>
        <w:t xml:space="preserve"> с</w:t>
      </w:r>
      <w:r w:rsidR="00ED1F43">
        <w:rPr>
          <w:lang w:val="uk-UA"/>
        </w:rPr>
        <w:t>.1</w:t>
      </w:r>
      <w:r w:rsidRPr="00ED1F43">
        <w:rPr>
          <w:lang w:val="uk-UA"/>
        </w:rPr>
        <w:t xml:space="preserve">22 </w:t>
      </w:r>
      <w:r w:rsidR="00ED1F43">
        <w:rPr>
          <w:lang w:val="uk-UA"/>
        </w:rPr>
        <w:t>-</w:t>
      </w:r>
      <w:r w:rsidRPr="00ED1F43">
        <w:rPr>
          <w:lang w:val="uk-UA"/>
        </w:rPr>
        <w:t xml:space="preserve"> 129</w:t>
      </w:r>
      <w:r w:rsidR="00ED1F43" w:rsidRPr="00ED1F43">
        <w:rPr>
          <w:lang w:val="uk-UA"/>
        </w:rPr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Тэор Т</w:t>
      </w:r>
      <w:r w:rsidR="00ED1F43">
        <w:rPr>
          <w:lang w:val="uk-UA"/>
        </w:rPr>
        <w:t xml:space="preserve">.Р. </w:t>
      </w:r>
      <w:r w:rsidRPr="00ED1F43">
        <w:rPr>
          <w:lang w:val="uk-UA"/>
        </w:rPr>
        <w:t>Мировая экономика</w:t>
      </w:r>
      <w:r w:rsidR="00ED1F43" w:rsidRPr="00ED1F43">
        <w:rPr>
          <w:lang w:val="uk-UA"/>
        </w:rPr>
        <w:t xml:space="preserve">: </w:t>
      </w:r>
      <w:r w:rsidRPr="00ED1F43">
        <w:rPr>
          <w:lang w:val="uk-UA"/>
        </w:rPr>
        <w:t>Пособие для подготовки к экзамену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СПб</w:t>
      </w:r>
      <w:r w:rsidR="00ED1F43">
        <w:rPr>
          <w:lang w:val="uk-UA"/>
        </w:rPr>
        <w:t>.:</w:t>
      </w:r>
      <w:r w:rsidR="00ED1F43" w:rsidRPr="00ED1F43">
        <w:rPr>
          <w:lang w:val="uk-UA"/>
        </w:rPr>
        <w:t xml:space="preserve"> </w:t>
      </w:r>
      <w:r w:rsidRPr="00ED1F43">
        <w:rPr>
          <w:lang w:val="uk-UA"/>
        </w:rPr>
        <w:t>Питер, 2001</w:t>
      </w:r>
      <w:r w:rsidR="00ED1F43" w:rsidRPr="00ED1F43">
        <w:rPr>
          <w:lang w:val="uk-UA"/>
        </w:rPr>
        <w:t>.</w:t>
      </w:r>
    </w:p>
    <w:p w:rsidR="00ED1F43" w:rsidRDefault="009A0C7F" w:rsidP="006F1E8C">
      <w:pPr>
        <w:ind w:firstLine="0"/>
        <w:rPr>
          <w:lang w:val="uk-UA"/>
        </w:rPr>
      </w:pPr>
      <w:r w:rsidRPr="00ED1F43">
        <w:rPr>
          <w:lang w:val="uk-UA"/>
        </w:rPr>
        <w:t>Щедрий П</w:t>
      </w:r>
      <w:r w:rsidR="00ED1F43" w:rsidRPr="00ED1F43">
        <w:rPr>
          <w:lang w:val="uk-UA"/>
        </w:rPr>
        <w:t xml:space="preserve">. </w:t>
      </w:r>
      <w:r w:rsidRPr="00ED1F43">
        <w:rPr>
          <w:lang w:val="uk-UA"/>
        </w:rPr>
        <w:t>Перспективи міжнародної інтеграції страхового ринку України в контексті норм СОТ</w:t>
      </w:r>
      <w:r w:rsidR="00ED1F43">
        <w:rPr>
          <w:lang w:val="uk-UA"/>
        </w:rPr>
        <w:t xml:space="preserve"> // </w:t>
      </w:r>
      <w:r w:rsidRPr="00ED1F43">
        <w:rPr>
          <w:lang w:val="uk-UA"/>
        </w:rPr>
        <w:t>Економіка України</w:t>
      </w:r>
      <w:r w:rsidR="00ED1F43" w:rsidRPr="00ED1F43">
        <w:rPr>
          <w:lang w:val="uk-UA"/>
        </w:rPr>
        <w:t xml:space="preserve">. </w:t>
      </w:r>
      <w:r w:rsidR="00ED1F43">
        <w:rPr>
          <w:lang w:val="uk-UA"/>
        </w:rPr>
        <w:t>-</w:t>
      </w:r>
      <w:r w:rsidRPr="00ED1F43">
        <w:rPr>
          <w:lang w:val="uk-UA"/>
        </w:rPr>
        <w:t xml:space="preserve"> 2004</w:t>
      </w:r>
      <w:r w:rsidR="00ED1F43" w:rsidRPr="00ED1F43">
        <w:rPr>
          <w:lang w:val="uk-UA"/>
        </w:rPr>
        <w:t>. -</w:t>
      </w:r>
      <w:r w:rsidR="00ED1F43">
        <w:rPr>
          <w:lang w:val="uk-UA"/>
        </w:rPr>
        <w:t xml:space="preserve"> </w:t>
      </w:r>
      <w:r w:rsidRPr="00ED1F43">
        <w:rPr>
          <w:lang w:val="uk-UA"/>
        </w:rPr>
        <w:t>№5</w:t>
      </w:r>
      <w:r w:rsidR="00ED1F43" w:rsidRPr="00ED1F43">
        <w:rPr>
          <w:lang w:val="uk-UA"/>
        </w:rPr>
        <w:t xml:space="preserve">. </w:t>
      </w:r>
      <w:r w:rsidR="00ED1F43">
        <w:rPr>
          <w:lang w:val="uk-UA"/>
        </w:rPr>
        <w:t>-</w:t>
      </w:r>
      <w:r w:rsidRPr="00ED1F43">
        <w:rPr>
          <w:lang w:val="uk-UA"/>
        </w:rPr>
        <w:t xml:space="preserve"> с</w:t>
      </w:r>
      <w:r w:rsidR="00ED1F43">
        <w:rPr>
          <w:lang w:val="uk-UA"/>
        </w:rPr>
        <w:t>.8</w:t>
      </w:r>
      <w:r w:rsidRPr="00ED1F43">
        <w:rPr>
          <w:lang w:val="uk-UA"/>
        </w:rPr>
        <w:t xml:space="preserve">2 </w:t>
      </w:r>
      <w:r w:rsidR="00ED1F43">
        <w:rPr>
          <w:lang w:val="uk-UA"/>
        </w:rPr>
        <w:t>-</w:t>
      </w:r>
      <w:r w:rsidRPr="00ED1F43">
        <w:rPr>
          <w:lang w:val="uk-UA"/>
        </w:rPr>
        <w:t xml:space="preserve"> 89</w:t>
      </w:r>
      <w:r w:rsidR="00ED1F43" w:rsidRPr="00ED1F43">
        <w:rPr>
          <w:lang w:val="uk-UA"/>
        </w:rPr>
        <w:t>.</w:t>
      </w:r>
    </w:p>
    <w:p w:rsidR="009A0C7F" w:rsidRPr="00ED1F43" w:rsidRDefault="009A0C7F" w:rsidP="00ED1F43">
      <w:pPr>
        <w:rPr>
          <w:lang w:val="uk-UA"/>
        </w:rPr>
      </w:pPr>
      <w:bookmarkStart w:id="0" w:name="_GoBack"/>
      <w:bookmarkEnd w:id="0"/>
    </w:p>
    <w:sectPr w:rsidR="009A0C7F" w:rsidRPr="00ED1F43" w:rsidSect="00ED1F43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99" w:rsidRDefault="00AF1799">
      <w:r>
        <w:separator/>
      </w:r>
    </w:p>
  </w:endnote>
  <w:endnote w:type="continuationSeparator" w:id="0">
    <w:p w:rsidR="00AF1799" w:rsidRDefault="00AF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DC7" w:rsidRPr="00ED1F43" w:rsidRDefault="00F35DC7" w:rsidP="00ED1F43">
    <w:pPr>
      <w:pStyle w:val="a6"/>
      <w:ind w:right="360"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99" w:rsidRDefault="00AF1799">
      <w:r>
        <w:separator/>
      </w:r>
    </w:p>
  </w:footnote>
  <w:footnote w:type="continuationSeparator" w:id="0">
    <w:p w:rsidR="00AF1799" w:rsidRDefault="00AF1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DC7" w:rsidRDefault="00A674E7" w:rsidP="00ED1F43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F35DC7" w:rsidRPr="00ED1F43" w:rsidRDefault="00F35DC7" w:rsidP="00ED1F43">
    <w:pPr>
      <w:pStyle w:val="a9"/>
      <w:ind w:right="36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E5555"/>
    <w:multiLevelType w:val="hybridMultilevel"/>
    <w:tmpl w:val="ACD0369A"/>
    <w:lvl w:ilvl="0" w:tplc="0E645C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EBD6D94"/>
    <w:multiLevelType w:val="multilevel"/>
    <w:tmpl w:val="ACD0369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8B60FCD"/>
    <w:multiLevelType w:val="hybridMultilevel"/>
    <w:tmpl w:val="DC845BB4"/>
    <w:lvl w:ilvl="0" w:tplc="0E645C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E645C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3570BE"/>
    <w:multiLevelType w:val="hybridMultilevel"/>
    <w:tmpl w:val="D9C02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A26118"/>
    <w:multiLevelType w:val="hybridMultilevel"/>
    <w:tmpl w:val="4F363646"/>
    <w:lvl w:ilvl="0" w:tplc="0E645C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E645C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5CA42CD"/>
    <w:multiLevelType w:val="hybridMultilevel"/>
    <w:tmpl w:val="F5EE4FFE"/>
    <w:lvl w:ilvl="0" w:tplc="0E645C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8AC4C25"/>
    <w:multiLevelType w:val="multilevel"/>
    <w:tmpl w:val="F5EE4FFE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1BD"/>
    <w:rsid w:val="00026988"/>
    <w:rsid w:val="001B6A97"/>
    <w:rsid w:val="001C5E87"/>
    <w:rsid w:val="0022165A"/>
    <w:rsid w:val="00273DF8"/>
    <w:rsid w:val="00370148"/>
    <w:rsid w:val="00494F62"/>
    <w:rsid w:val="005123C4"/>
    <w:rsid w:val="005E3736"/>
    <w:rsid w:val="006801AE"/>
    <w:rsid w:val="006821BD"/>
    <w:rsid w:val="006F1E8C"/>
    <w:rsid w:val="00734929"/>
    <w:rsid w:val="007747E4"/>
    <w:rsid w:val="0086748B"/>
    <w:rsid w:val="00951EC4"/>
    <w:rsid w:val="009A0C7F"/>
    <w:rsid w:val="009D4B46"/>
    <w:rsid w:val="00A674E7"/>
    <w:rsid w:val="00AF1799"/>
    <w:rsid w:val="00B16E59"/>
    <w:rsid w:val="00B4643F"/>
    <w:rsid w:val="00B64E36"/>
    <w:rsid w:val="00BC25A1"/>
    <w:rsid w:val="00ED1F43"/>
    <w:rsid w:val="00F35DC7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A0DAA4-F260-46DE-A356-123ED670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D1F4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D1F4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D1F4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D1F4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D1F4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D1F4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D1F4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D1F4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D1F4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ED1F4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ED1F43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ED1F43"/>
    <w:rPr>
      <w:rFonts w:cs="Times New Roman"/>
    </w:rPr>
  </w:style>
  <w:style w:type="table" w:styleId="-1">
    <w:name w:val="Table Web 1"/>
    <w:basedOn w:val="a4"/>
    <w:uiPriority w:val="99"/>
    <w:rsid w:val="00ED1F4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ED1F4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ED1F43"/>
    <w:rPr>
      <w:rFonts w:cs="Times New Roman"/>
      <w:vertAlign w:val="superscript"/>
    </w:rPr>
  </w:style>
  <w:style w:type="paragraph" w:styleId="ab">
    <w:name w:val="Body Text"/>
    <w:basedOn w:val="a2"/>
    <w:link w:val="ad"/>
    <w:uiPriority w:val="99"/>
    <w:rsid w:val="00ED1F43"/>
    <w:pPr>
      <w:ind w:firstLine="0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ED1F4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ED1F43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ED1F4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ED1F43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ED1F4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ED1F43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D1F43"/>
    <w:rPr>
      <w:rFonts w:cs="Times New Roman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ED1F43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D1F43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ED1F43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ED1F43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D1F43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D1F4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D1F4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D1F4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D1F43"/>
    <w:pPr>
      <w:ind w:left="958"/>
    </w:pPr>
  </w:style>
  <w:style w:type="paragraph" w:styleId="23">
    <w:name w:val="Body Text Indent 2"/>
    <w:basedOn w:val="a2"/>
    <w:link w:val="24"/>
    <w:uiPriority w:val="99"/>
    <w:rsid w:val="00ED1F4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D1F4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ED1F4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ED1F4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D1F43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D1F43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D1F4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D1F4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D1F4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D1F43"/>
    <w:rPr>
      <w:i/>
      <w:iCs/>
    </w:rPr>
  </w:style>
  <w:style w:type="paragraph" w:customStyle="1" w:styleId="af9">
    <w:name w:val="ТАБЛИЦА"/>
    <w:next w:val="a2"/>
    <w:autoRedefine/>
    <w:uiPriority w:val="99"/>
    <w:rsid w:val="00ED1F43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ED1F43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ED1F43"/>
  </w:style>
  <w:style w:type="table" w:customStyle="1" w:styleId="14">
    <w:name w:val="Стиль таблицы1"/>
    <w:uiPriority w:val="99"/>
    <w:rsid w:val="00ED1F4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ED1F43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ED1F43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ED1F43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ED1F4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Міжнародний ринок боргових цінних паперів та його інструменти</vt:lpstr>
    </vt:vector>
  </TitlesOfParts>
  <Company>home</Company>
  <LinksUpToDate>false</LinksUpToDate>
  <CharactersWithSpaces>15467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Міжнародний ринок боргових цінних паперів та його інструменти</dc:title>
  <dc:subject/>
  <dc:creator>oleg</dc:creator>
  <cp:keywords/>
  <dc:description/>
  <cp:lastModifiedBy>admin</cp:lastModifiedBy>
  <cp:revision>2</cp:revision>
  <dcterms:created xsi:type="dcterms:W3CDTF">2014-02-21T11:59:00Z</dcterms:created>
  <dcterms:modified xsi:type="dcterms:W3CDTF">2014-02-21T11:59:00Z</dcterms:modified>
</cp:coreProperties>
</file>