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11" w:rsidRPr="0085134A" w:rsidRDefault="00122711" w:rsidP="00122711">
      <w:pPr>
        <w:spacing w:before="120"/>
        <w:jc w:val="center"/>
        <w:rPr>
          <w:b/>
          <w:bCs/>
          <w:sz w:val="32"/>
          <w:szCs w:val="32"/>
        </w:rPr>
      </w:pPr>
      <w:r w:rsidRPr="0085134A">
        <w:rPr>
          <w:b/>
          <w:bCs/>
          <w:sz w:val="32"/>
          <w:szCs w:val="32"/>
        </w:rPr>
        <w:t xml:space="preserve">Роль рейтингов в деятельности по связям с общественностью </w:t>
      </w:r>
    </w:p>
    <w:p w:rsidR="00122711" w:rsidRPr="0085134A" w:rsidRDefault="00122711" w:rsidP="00122711">
      <w:pPr>
        <w:spacing w:before="120"/>
        <w:jc w:val="center"/>
        <w:rPr>
          <w:sz w:val="28"/>
          <w:szCs w:val="28"/>
        </w:rPr>
      </w:pPr>
      <w:r w:rsidRPr="0085134A">
        <w:rPr>
          <w:sz w:val="28"/>
          <w:szCs w:val="28"/>
        </w:rPr>
        <w:t xml:space="preserve">Бахарева Э.Л.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Рейтинг — как инструмент оценки одного фигуранта относительно другого</w:t>
      </w:r>
      <w:r>
        <w:t xml:space="preserve"> </w:t>
      </w:r>
      <w:r w:rsidRPr="00CE7FAA">
        <w:t xml:space="preserve">— применяется во многих отраслях и направлениях деятельности; например, все знают: “Рейтинг устойчивости банков”, “Рейтинг популярности направлений туризма”, “Рейтинг популярности политиков”, “Рейтинг популярности песен и исполнителей”, “Рейтинг инвестиционной привлекательности регионов” и т.п.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Прежде всего, точный рейтинг по определенным критериям — необходимая и важная информация для принятия финансовых и маркетинговых решений. Так, “Рейтинг популярности исполнителей” является важной маркетинговой информацией для студий звукозаписи и продюсеров, “Рейтинг популярности туристических маршрутов” важен для эффективной работы туроператоров.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Однако широко публикуемые рейтинги становятся не только инструментом маркетинга и планирования, но и инструментом формирования имиджа, так как несут информацию о статусе фигуранта рейтинга относительно конкурентов. Это заставляет рейтингуемые компании и персоны живо интересоваться результатами и работать над повышением рейтинга, используя для этого все возможные способы.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Итак, рейтинги несут информацию: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для партнеров — о потенциальных возможностях фигуранта (используются для принятия решений о сотрудничестве);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для фигуранта рейтинга — об относительных возможностях конкурентов, своих сильных и слабых сторонах (используются для корректировки собственной стратегии);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для общественности — о ситуации в определенном сегменте рынка (используются для формирования общественного мнения).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 зависимости от поставленных при составлении рейтинга задач исследовательским центром выбирается методика проведения исследования, формируется список необходимых критериев, разрабатывается система их оценки. </w:t>
      </w:r>
    </w:p>
    <w:p w:rsidR="00122711" w:rsidRPr="0085134A" w:rsidRDefault="00122711" w:rsidP="00122711">
      <w:pPr>
        <w:spacing w:before="120"/>
        <w:jc w:val="center"/>
        <w:rPr>
          <w:b/>
          <w:bCs/>
          <w:sz w:val="28"/>
          <w:szCs w:val="28"/>
        </w:rPr>
      </w:pPr>
      <w:r w:rsidRPr="0085134A">
        <w:rPr>
          <w:b/>
          <w:bCs/>
          <w:sz w:val="28"/>
          <w:szCs w:val="28"/>
        </w:rPr>
        <w:t xml:space="preserve">Цели и задачи формирования “рейтинга publicity*”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Вопрос оценки качества деятельности по связям с общественностью (далее PR-работы) волнует умы экспертов со времен появления данного понятия. “Сделать общую оценку эффективности PR-деятельности не представляется возможным” — заявляют аналитики.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На сегодняшний день эффективность проведенной PR-акции оценивается несколькими способами: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Подсчитывается количество инициированных материалов.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Оценивается рекламный эквивалент объемов опубликованных материалов.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Подсчитывается количество газетных строк, посвященных компании или персоне.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Всем понятно, что данные способы оценки не учитывают очень многих факторов влияния на общественное мнение и не могут претендовать на объективное отражение эффективности PR-деятельности.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Они применимы, прежде всего, к оценке одного из направлений деятельности PR — организации publicity. Но и при решении этой, более локальной задачи приведенные методы не могут дать достаточное количество информации для объективной оценки. Например, материал о финансовой структуре в “Коммерсанте” не равен по воздействию на общественное мнение материалу о той же структуре в “МК” и порой заметка в “Новостях” рейтингового издания с необходимой целевой аудиторией важнее большой статьи в журнале со значительным тиражом. Поскольку каждый опубликованный материал имеет разную степень влияния на умы читателей. Статья в рамке на правах рекламы, где написано, что “мы — суперкомпания!” — это одно. Какой-либо обзор, в котором приводятся мнения авторитетных людей и упоминается марка — совсем другое, такая статья более эффективна. У материалов существуют качественные характеристики: есть ли интересный заголовок, который привлечет внимание большего количества читателей, соответствует ли текст заявленной теме. Если у статьи есть информационный повод, то вообще замечательно — значит, она имеет новостийную окраску и потому интересна. Важны также чисто пиаровские характеристики: побуждение к действию, отстройка от конкурентов, серийность (материалы, публикуемые в рамках кампаний), объем и расположение в издании, тираж издания, наличие графического сопровожения. Насколько этот материал заставляет пересказывать его, передавать из уст в уста: “Ой, слушай, я читал такую статью....”, то, как позиционируется компания, какова информационная насыщенность статьи — все это имеет значение.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Для разрешения приведенных противоречий и объективного анализа publicity специалистами агентства “Publicity PR” разработана универсальная методика, позволяющая получать квалифицированное заключение о состоянии publicity компаний или персоналий в любом сегменте рынка, а также сравнительное соотношение коэффициентов (рейтингов) паблисити.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Методика исследования “Рейтинг publicity” основана на системном исследовании материалов центральной и региональной прессы (186 изданий).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Проводится непрерывное исследование количественных характеристик обращений изданий к теме и качество информационных материалов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Шаг 1. Учет реквизитных данных о статье: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издание;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дата публикации;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название статьи;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основная тема;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автор;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объем публикации;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расположение на полосе, в рубрике;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упоминаемые марки;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упоминаемые компании;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упоминаемые госструктуры;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упоминаемые персоны.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Шаг 2. Общий анализ информационных источников: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количество публикаций по теме в течение стандартного периода исследования в одном издании;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периодичность обращения к теме;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преобладающая направленность публикаций;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авторы;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преобладающий тип публикаций: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обзорные статьи;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прямые обращения, открытые письма;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интервью;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ссылки на авторитетные источники;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способы защиты потребителя;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ноу-хау, познавательные или редкие факты;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анонсы;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новости;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репортажи;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кризисные ситуации.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Шаг 3. Анализ PR-деятельности конкурентов: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общая динамика публикаций по теме;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динамика публикаций о компании (персоне);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интенсивность информационного воздействия (количество публикаций);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количество явно инициированных PR-обращений;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количество негативных публикаций;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количество положительных публикаций и отзывов;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количество нейтральных, информационных статей;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цикличность инициирования тематических PR-обращений;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поддержка определенных компаний (кем? почему?);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антиреклама компаний (кто? почему?);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применяемые типы PR-воздействий;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тематика публикаций, продвижение товарных групп.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Для большей наглядности все данные и результаты представляются в виде графиков и диаграмм.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Для составлении рейтинга publicity конкурирующих компаний учитываются следующие критерии оценки обращений: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важность события, удачный информационный повод — 1 балл;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интересный заголовок — 1 балл, название компании/марки в заголовке — 2 балла;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побуждение к действию — 1 балл;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отстройка от конкурентов — 1 балл;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позиционирование — 1 балл;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информационная насыщенность — 1 балл;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соответствие теме полосы или рубрики — 1 балл;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графическое сопровождение — 1 балл.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Расчет производится по формуле, учитывающей все приведенные характеристики, разработанной экспертами аналитического отдела агентства “Publicity PR”: </w:t>
      </w:r>
    </w:p>
    <w:p w:rsidR="00122711" w:rsidRDefault="00122711" w:rsidP="00122711">
      <w:pPr>
        <w:spacing w:before="120"/>
        <w:ind w:firstLine="567"/>
        <w:jc w:val="both"/>
      </w:pPr>
      <w:r w:rsidRPr="00CE7FAA">
        <w:t xml:space="preserve">R = [ Q ] . [ O ] . [ V ] . [ Z ] . T/100000 . [ К ] . [S],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N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где Q — сумма баллов качественных характеристик материала (см. критерии оценки обращений);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O — авторская оценка фигуранта: положительная — коэффициент = 2, отрицательная — коэффициент = –1; нейтральная = 1;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V — объем публикации (за единицу берется формат А4);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Z — вероятность запоминания информации (зависит от количества информации о конкретной компании в исследуемой статье);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Т — тираж издания (заявленный тираж издания);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K — соответствие темы и стиля публикации целевой аудитории издания не соответствует — коэффициент = 1/2, соответствует — коэффициент = 1;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S — серийность &gt;3 (материалы, публикуемые в рамках кампании) — коэффициент = 2;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N — количество упоминаемых в материале конкурентов.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Пример.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PR-политика зарубежных производителей в условиях кризиса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 результате августовского кризиса 1998 года на фондовом рынке и политической ситуации в стране возник вопрос о продолжении деятельности иностранных компаний в России, возможном изменении их планов и условий сотрудничества с российскими партнерами. Основная работа служб по связям с общественностью в данный период состояла в своевременном разъяснении позиции компании и ее планов в средствах массовой информации.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Ряд компаний, а именно — BSHG, Electrolux, Merloni, Samsung — весной 1998 г. активно упоминались в связи с планами открытия ими в России и странах СНГ собственных производственных мощностей. Информационный вакуум в сложившейся ситуации мог быть прокомментирован СМИ непредвиденным образом.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На фоне подрыва доверия к банкам, прогнозов краха многих компаний и структур особое положительное значение для формирования имиджа стабильности приобрели заявления иностранных представительств “о неизменности своего курса”.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Рассмотрим PR-деятельность иностранных компаний в сложившейся ситуации на примере лидеров рынка бытовой техники — международных корпораций Bosch-Siemens и Merloni.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Merloni Elettrodomestici s.р.а. — многоотраслевая промышленная группа, которая контролирует примерно 10% европейского рынка “белой” техники и ежегодно выпускает около 6 млн. бытовых электроприборов.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Компания Bosch-Siemens является лидером в сфере производства и продажи бытовых приборов в Германии (доля рынка — 34%), в целом в Европе (доля рынка</w:t>
      </w:r>
      <w:r>
        <w:t xml:space="preserve"> </w:t>
      </w:r>
      <w:r w:rsidRPr="00CE7FAA">
        <w:t xml:space="preserve">— 20%) и входит в пятерку ведущих мировых производителей в данной отрасли. В 1997 г. оборот BSHG превысил 9 млрд. DM.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Merloni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Руководство компании Merloni сразу заявило “Интерфаксу”: “В сегодняшней ситуации нет оснований для волнений, компания будет продолжать работать на российском рынке” (“Деньги”, 26.08.98). Положительную роль в имидже компании сыграло заявление, опубликованное 28.08.98 в “Коммерсантъ-daily”: “Merloni Elettrodomestici не собирается сворачивать свою деятельность в России. Наше намерение построить собственное предприятие во Фрязине остается в силе. Руководство Merloni готово пройти через этот кризис вместе с Россией”.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 сентябре компания объявила о ревизии своих производственных планов на территории России. Глава представительства в СНГ и Восточной Европе Марко Милани сообщил, что компания не отказывается от планов создания собственного сборочного производства в г. Фрязино. Будет построен завод “с нуля”. Предполагается запустить две линии по сборке газовых и электрических плит мощностью 50 тыс. единиц в год каждая.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Эти заявления вызвали следующую оценку журналистов: “…присутствие духа и решимость действовать, несмотря ни на какие политические катаклизмы, проявила итальянская фирма “Мерлони” (Наталья Егорычева, “Куранты”, 17.09.98); “…производитель и поставщик сложной бытовой техники не видит причин для ухода с российского рынка... по крайней мере в ближайшие 100 лет” (“Сегодня”, 14.09.98).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Публикации продолжались в октябре и ноябре. Материалы, подробно освещающие изменения в инвестиционных планах компании, были опубликованы в семи изданиях, в шести из девяти статей компания упоминалась среди других инвесторов, продолжающих активно работать в России.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Рассмотрим расчет рейтинга более подробно на примере статьи в газете “Куранты” от 17.09.98 г.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Необходимо иметь в виду, что каждый материал рассматривается с учетом уже накопленных данных об изданиях (тираж, периодичность, целевая аудитория, основная направленность, существующие рубрики, авторы).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Специалисты агентства “Publicity PR” для автоматизации расчетов и накопления данных создали базу данных “Рейтинг publicity”, позволяющую легко и быстро, отвечая на вопросы системы, ввести необходимые данные по каждой статье и рассчитать рейтинг. Пользовательская база данных может быть легко создана в системе Excel или Access в виде таблицы, содержащей необходимые столбцы. Накопительная база данных позволяет сделать анализ изменения publicity во времени.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Рассмотрим на примере конкретных таблиц пошаговую реализацию указанной методики. Первым шагом является учет реквизитных данных о статье: </w:t>
      </w:r>
    </w:p>
    <w:tbl>
      <w:tblPr>
        <w:tblW w:w="500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757"/>
        <w:gridCol w:w="4001"/>
      </w:tblGrid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издание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Еженедельник “Куранты”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тираж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120000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дата публикации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17.09.99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название статьи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“Итальянское — значит… отечественное”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основная тема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Открытие производства в России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автор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Наталья Егорычева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объем публикации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1/4 (считается от формата А4)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расположение на полосе, в рубрике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“Новости”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упоминаемые марки-конкуренты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“Аристон”, “Индезит”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упоминаемые компании-конкуренты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“Мерлони”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упоминаемые госструктуры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упоминаемые персоны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</w:tbl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Далее производится общий анализ информационных источников. </w:t>
      </w:r>
    </w:p>
    <w:tbl>
      <w:tblPr>
        <w:tblW w:w="500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757"/>
        <w:gridCol w:w="4001"/>
      </w:tblGrid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обзорная статья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открытое письмо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интервью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советы потребителям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ноу-хау, познавательные или редкие факты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анонсы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новости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T+1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репортажи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кризисные ситуации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достижения компании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производственные планы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Т+1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финансовые новости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маркетинговая стратегия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рекламная стратегия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технические достижения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 xml:space="preserve">новая продукция (услуга)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особенности товара (услуги)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</w:tbl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Для составлении рейтинга publicity конкурирующих компаний учитываются следующие критерии оценки обращений: </w:t>
      </w:r>
    </w:p>
    <w:tbl>
      <w:tblPr>
        <w:tblW w:w="5000" w:type="pct"/>
        <w:tblCellSpacing w:w="0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757"/>
        <w:gridCol w:w="4001"/>
      </w:tblGrid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 xml:space="preserve">важность события, удачный информационный повод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 xml:space="preserve">интересный заголовок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 xml:space="preserve">побуждение к действию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отстройка от конкурентов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 xml:space="preserve">позиционирование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 xml:space="preserve">информационная насыщенность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 xml:space="preserve">соответствие теме полосы или рубрики 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1</w:t>
            </w:r>
          </w:p>
        </w:tc>
      </w:tr>
      <w:tr w:rsidR="00122711" w:rsidRPr="00CE7FAA" w:rsidTr="00E40039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2711" w:rsidRPr="00CE7FAA" w:rsidRDefault="00122711" w:rsidP="00E40039">
            <w:r w:rsidRPr="00CE7FAA">
              <w:t>графическое сопровождение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2711" w:rsidRPr="00CE7FAA" w:rsidRDefault="00122711" w:rsidP="00E40039">
            <w:r w:rsidRPr="00CE7FAA">
              <w:t>—</w:t>
            </w:r>
          </w:p>
        </w:tc>
      </w:tr>
    </w:tbl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R = [ Q ] . [ O ] . [ V ] . [ Z ] . T/100000 . [ К ] . [S]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R = 5 . 2 . 1/4 . 2 . 1,2 . 1/2 . 2 = 12,0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Таким образом, компания Merloni имеет за статью в газете “Куранты” 12 баллов.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 соответствии с этой методологией проведен анализ и дана оценка каждому материалу, рассчитан рейтинг паблисити компании Merloni по данной акции: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Bosch-Siemens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Корпорация BSHG фактически никак не заявила свою позицию по поводу продолжения или приостановки инвестиционного проекта в Черноголовке (строительство завода бытовой техники). Между тем в СМИ на протяжении нескольких месяцев формировалась устойчивая оценка проекта как важного инвестиционного события. В августе данная оценка была нивелирована сообщением в “Известиях” от 25.08.98, где высказывалось мнение о том, что строительство завода “Бош-Сименс” может негативно повлиять на развитие местного производства бытовой техники.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 сентябре президент Чувашии, отвечая на вопросы корреспондента газеты “Правда”, отметил: “Серьезные инвесторы из Чувашии не уходят и, я надеюсь, не уйдут. В качестве примера назову такие всемирно известные компании, как “Дюпон”, “Сименс”, “АББ” и другие”.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Однако руководство компании не имеет такой уверенности в отношении дальнейших планов в России, как председатель Государственной инвестиционной корпорации и президент Чувашии. В комментариях официальных лиц звучат ноты сомнения и нерешительности. Видимо, именно не до конца сформированная политика компании вызвала противоречия в комментариях представителей компании и прессы.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Это также стало причиной задержки оперативных действий PR-службы.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Первое официальное заявление появилось в прессе только 1 сентября. Журнал “Компания” в материале “Западные компании тоже заплатят по счетам правительства России” приводит комментарии главы концерна Хайнриха Ван Питера о том, что потери от кризиса в России будут минимальными, поскольку “наше присутствие в этой стране очень ограниченно”. На основе этого заявления автор статьи делает вывод о курсе компании на снижение инвестиций и возможном отказе от контрактов в России.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Ирина Скибинская в статье, опубликованной 7 сентября в “Интерфакс — АиФ”, “Инвестор инвестору рознь”, приводит слова представителя группы Siemens, что ситуация тревожная и непредсказуемая, однако, по всей видимости, это мало скажется на делах представительства в России.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Короткий комментарий пресс-секретаря концерна Элизабет Рамельсбергер: “Пока мы не имеем ясной картины происходящего”, опубликованный 9 сентября в газете “Правда” в статье Александра Михайлова “Хоть рубль слаб, но сильно бьет немецкую марку”. Такого рода характеристика также говорит об отсутствии четкой стратегии действий компании на российском рынке в условиях финансовой и политической нестабильности.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Возможно, что причиной сложившейся в корпорации ситуации стали грядущие в российском подразделении кадровые перестановки — смена главы представительства. Об этом писал “Российский телеграф” 16.09.98 и 18.09.98.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Таким образом, следует отметить, что информационный вакуум августа в сентябре был заполнен сообщениями двух видов: а) уверенность официальных лиц России в продолжении активной деятельности компании Siemens на российском рынке, что говорит о сформированном имидже стабильного партнера, и б) сомнения официальных представителей корпорации в возможности нормальной работы в России, что нивелирует все прошлые слова представителей Siemens об огромной важности российского бизнеса для компании.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Только спустя два месяца PR-мены “опомнились” и взялись исправлять ситуацию. С октября новый глава представительства Герхард Вибираль активно дает интервью с оптимистичными комментариями: “Сименс” присутствует в России уже 150 лет, поэтому сегодняшние трудности не могут сбить фирму с избранного ею пути. Важно успешно вести дела и расширять их дальше с учетом новых обстоятельств” (“Интерфакс — АиФ”, 16.10.98).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“Каждая новая ситуация требует умения адаптироваться к ней. Изменение обстоятельств никогда не следует воспринимать как повод для опасения, а как новое побуждение к действию” (“Капитал”, 14.10.98) 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“В сегодняшней обстановке необходимо уделять особое внимание созданию ценностей на местах. В этом направлении фирма “Сименс” намерена работать в России и дальше” (“Независимая газета”, 4.11.98).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“Мы не имеем намерений уходить из России… Да, мы сегодня в новой ситуации, которая не создала нам лучших условий. Но сидеть и ждать, пока кризис завершится, не в правилах “Сименса” (“Труд”, 17.11.98).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Таким образом, совершив в сентябре оплошность, а именно, допустив нарушение одного из основных правил работы в кризисной ситуации: “Все общение со СМИ должно проходить через один официально выбранный канал” (в сентябре точек с исходящей информацией было три), Siemens получил необдуманные высказывания официальных лиц компании о сложившейся ситуации на информационном поле, где большинство конкурирующих компаний активно пропагандировали свою устойчивость, несмотря на “штормовой ветер в российской экономике”.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Поставив перед собой задачу исправить ситуацию, PR-менеджеры Siemens, в отличие от PR-компании Merloni, получившей резонанс через организацию пресс-конференции, выбрали более тяжелый путь — организацию в центральных изданиях публикации интервью с главой представительства в России. Что, в общем, неплохо получилось.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Но, на взгляд экспертов аналитического центра “Publicity PR”, в данном случае команда Merloni сработала более оперативно и эффективно, затратив явно меньше времени и ресурсов.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Заметим, что обе компании получили по девять материалов в центральной прессе о деятельности в сложившихся условиях, но оперативность, расставленные акценты, методы донесения информации, стиль изложения были различны и повлияли на рейтинги.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Общий рейтинг компании Bosch-Siemens — 125,76 балла.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Общий рейтинг компании Merloni — 223,79 балла.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Эта методика — универсальный инструмент, применимый к любой области: политике, к целому сегменту рынка, к отдельной компании и торговой марке.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Методика “Рейтинг паблисити”, благодаря использованной теории определения эффективности организации publicity, позволяет с высокой достоверностью: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выявить лидеров рейтинга publicity за определенный период;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просчитать уровень publicity любой компании в сравнении с publicity конкурентов.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Методика успешно апробирована при исследовании PR-деятельности компаний различных сегментов рынка: финансовые услуги, страхование, туризм. Сегодня в режиме настоящего времени оценивается publicity компаний рынка бытовой техники, автомобильного рынка, рынка табака, алкоголя, минеральных вод, publicity отдельных государственных структур и политиков.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Детальный анализ publicity компаний определенного сегмента рынка дается в ежемесячном отчете “Рейтинг рublicity”. Подобные исследования выпускаются по отдельным рынкам. На основании отчета менеджер имеет возможность реально оценить ситуацию на информационном поле, быстро сделать необходимые выводы: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в соответствии с действиями конкурентов оперативно модифицировать собственную PR-стратегию;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определить приверженность средств массовой информации или конкретных авторов к положительным и отрицательным оценкам торговых марок;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определить цикличность PR-кампаний и прогнозировать дальнейшую активность в этом сегменте рынка;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определить объем и качество потребляемой обществом информации и спланировать PR-кампанию с учетом информированности аудитории.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Можно реально оценить ситуацию на информационном поле, быстро сделать соответствующие выводы и откорректировать PR-кампанию.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Ежемесячный отчет “Рейтинг publicity” имеет следующую структуру: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Часть 1.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Дайджест (обзор публикаций прессы по темам):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“Новости рынка”;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“Новости компаний”;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“Исследования”;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“Обзоры”;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“Реклама и PR”.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Часть 2.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Анализ информационных материалов, обзоров и антирекламных статей: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Динамика публикаций;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Интенсивность информационного воздействия;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Основные темы публикаций, поднимаемые вопросы;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Активность каждого издания в освещении темы;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Ангажированность журналистов.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Часть 3.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Анализ активности взаимодействия компаний с прессой: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Анализ информационной активности компаний;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Анализ проводимых PR-акций и полученного резонанса;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Расчет “Рейтинга паблисити”.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Часть 4.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Подборка публикаций по исследуемой теме.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Для большей наглядности все данные и результаты представляются в виде графиков и диаграмм.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Исследование имеет прикладное значение и отвечает на вопросы: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издания наиболее активно освещают исследуемый сегмент рынка?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журналисты постоянно работают с данной темой?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издания лучше использовать для PR-обращений?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типы PR-воздействия лучше использовать для того или иного издания (целевой аудитории)?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издания используют конкуренты для продвижения компании, продуктов, услуг?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товарные группы или услуги активно продвигались в прессе? Что рекламировалось особо?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компании и марки упоминались в прессе в течение месяца и в каком контексте?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Кто был подвержен антирекламе?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Чем вызваны нападки?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Какие контрдействия предпринимают компании?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Кто и где размещал заказные статьи?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Являются ли материалы частью PR-кампании или разовыми обращениями? 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>Какие конкурирующие компании проводят PR-кампании в прессе, каков их результат?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Рейтинг publicity является инструментом анализа положения на информационном поле фигуранта рейтинга относительно конкурентов и несет информацию для PR-менеджера компании о положении конкурентов и необходимости коррекции взаимодействия компании со СМИ. Агентство “Рublicity PR” осуществляет подписку на постоянно выпускаемые отчеты “Рейтинг publicity” и выполняет индивидуальные заказы по исследованию publicity фигурантов интересующих рынков. </w:t>
      </w:r>
    </w:p>
    <w:p w:rsidR="00122711" w:rsidRPr="0085134A" w:rsidRDefault="00122711" w:rsidP="00122711">
      <w:pPr>
        <w:spacing w:before="120"/>
        <w:jc w:val="center"/>
        <w:rPr>
          <w:b/>
          <w:bCs/>
          <w:sz w:val="28"/>
          <w:szCs w:val="28"/>
        </w:rPr>
      </w:pPr>
      <w:r w:rsidRPr="0085134A">
        <w:rPr>
          <w:b/>
          <w:bCs/>
          <w:sz w:val="28"/>
          <w:szCs w:val="28"/>
        </w:rPr>
        <w:t>Список литературы</w:t>
      </w:r>
    </w:p>
    <w:p w:rsidR="00122711" w:rsidRPr="00CE7FAA" w:rsidRDefault="00122711" w:rsidP="00122711">
      <w:pPr>
        <w:spacing w:before="120"/>
        <w:ind w:firstLine="567"/>
        <w:jc w:val="both"/>
      </w:pPr>
      <w:r w:rsidRPr="00CE7FAA">
        <w:t xml:space="preserve">Маркетинг в России и за рубежом № 1 / 2000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711"/>
    <w:rsid w:val="00122711"/>
    <w:rsid w:val="0031418A"/>
    <w:rsid w:val="003339FC"/>
    <w:rsid w:val="005A2562"/>
    <w:rsid w:val="0085134A"/>
    <w:rsid w:val="00CE7FAA"/>
    <w:rsid w:val="00DA43A1"/>
    <w:rsid w:val="00E12572"/>
    <w:rsid w:val="00E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B98230-AD50-43B0-8D73-E7E97F6F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1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22711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3364</Words>
  <Characters>19180</Characters>
  <Application>Microsoft Office Word</Application>
  <DocSecurity>0</DocSecurity>
  <Lines>159</Lines>
  <Paragraphs>44</Paragraphs>
  <ScaleCrop>false</ScaleCrop>
  <Company>Home</Company>
  <LinksUpToDate>false</LinksUpToDate>
  <CharactersWithSpaces>22500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рейтингов в деятельности по связям с общественностью </dc:title>
  <dc:subject/>
  <dc:creator>Alena</dc:creator>
  <cp:keywords/>
  <dc:description/>
  <cp:lastModifiedBy>admin</cp:lastModifiedBy>
  <cp:revision>2</cp:revision>
  <dcterms:created xsi:type="dcterms:W3CDTF">2014-02-17T02:28:00Z</dcterms:created>
  <dcterms:modified xsi:type="dcterms:W3CDTF">2014-02-17T02:28:00Z</dcterms:modified>
</cp:coreProperties>
</file>