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98" w:rsidRPr="00D31E5C" w:rsidRDefault="00833598" w:rsidP="00833598">
      <w:pPr>
        <w:spacing w:before="120"/>
        <w:jc w:val="center"/>
        <w:rPr>
          <w:b/>
          <w:bCs/>
          <w:sz w:val="32"/>
          <w:szCs w:val="32"/>
        </w:rPr>
      </w:pPr>
      <w:r w:rsidRPr="00D31E5C">
        <w:rPr>
          <w:b/>
          <w:bCs/>
          <w:sz w:val="32"/>
          <w:szCs w:val="32"/>
        </w:rPr>
        <w:t>Активация алюмосиликатного катализатора трошковской глиной</w:t>
      </w:r>
    </w:p>
    <w:p w:rsidR="00833598" w:rsidRPr="00E435B1" w:rsidRDefault="00833598" w:rsidP="00833598">
      <w:pPr>
        <w:spacing w:before="120"/>
        <w:ind w:firstLine="567"/>
        <w:jc w:val="both"/>
      </w:pPr>
      <w:r w:rsidRPr="00D31E5C">
        <w:t>Минибаев А.В., Гумеров Р.Х., Сим В.Э.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Активность алюмосиликатных катализаторов наряду с содержанием цеолита NaY определяется содержанием оксида алюминия в аморфной матрице [1, 2]. При совместном осаждении гидроксида алюминия и кремниевой кислоты происходит образование алюмокремнегеля с содержанием оксида алюминия в матрице 10-12</w:t>
      </w:r>
      <w:r>
        <w:t xml:space="preserve"> </w:t>
      </w:r>
      <w:r w:rsidRPr="00E435B1">
        <w:t>%. Аморфная матрица обеспечивает максимальную активность и термическую стабильность цеолита при содержании в ней 30-40</w:t>
      </w:r>
      <w:r>
        <w:t xml:space="preserve"> </w:t>
      </w:r>
      <w:r w:rsidRPr="00E435B1">
        <w:t>% оксида алюминия. Увеличение содержания оксида алюминия в матрице от 12 до 30</w:t>
      </w:r>
      <w:r>
        <w:t xml:space="preserve"> </w:t>
      </w:r>
      <w:r w:rsidRPr="00E435B1">
        <w:t xml:space="preserve">% достигается добавлением природной глины - каолина. Однако введение каолина существенно понижает прочность катализатора [3]. Поэтому определенный интерес представляет испытание в качестве активатора глины, обладающей связующими свойствами и минимальным содержанием оксида железа, который вызывает образование газообразных продуктов крекинга. К глинам такого типа относится каолинитовая глина Трошковского месторождения, которая использовалась как связующий материал при грануляции цеолита NaY и NaX на Ишимбайском специализированном химическом заводе катализаторов. Средний состав глины в сухом состоянии приведен в табл. 1.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Таблица 1.</w:t>
      </w:r>
    </w:p>
    <w:tbl>
      <w:tblPr>
        <w:tblW w:w="5000" w:type="pct"/>
        <w:tblCellSpacing w:w="7" w:type="dxa"/>
        <w:tblInd w:w="-1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833598" w:rsidRPr="00E435B1" w:rsidTr="00946DB5">
        <w:trPr>
          <w:tblCellSpacing w:w="7" w:type="dxa"/>
        </w:trPr>
        <w:tc>
          <w:tcPr>
            <w:tcW w:w="249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Наименование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Состав, % масс</w:t>
            </w:r>
          </w:p>
        </w:tc>
      </w:tr>
      <w:tr w:rsidR="00833598" w:rsidRPr="00E435B1" w:rsidTr="00946DB5">
        <w:trPr>
          <w:trHeight w:val="2535"/>
          <w:tblCellSpacing w:w="7" w:type="dxa"/>
        </w:trPr>
        <w:tc>
          <w:tcPr>
            <w:tcW w:w="249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Глина каолиновая Трошковского месторождения</w:t>
            </w:r>
          </w:p>
          <w:p w:rsidR="00833598" w:rsidRPr="00E435B1" w:rsidRDefault="00833598" w:rsidP="00946DB5">
            <w:r w:rsidRPr="00E435B1">
              <w:t>Сорт ТР-1</w:t>
            </w:r>
          </w:p>
          <w:p w:rsidR="00833598" w:rsidRPr="00E435B1" w:rsidRDefault="00833598" w:rsidP="00946DB5">
            <w:r w:rsidRPr="00E435B1">
              <w:t>ТУ 14-74-73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SiO2 - 50,5-51,2</w:t>
            </w:r>
          </w:p>
          <w:p w:rsidR="00833598" w:rsidRPr="00E435B1" w:rsidRDefault="00833598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Al2O3 - 33,4-40,8</w:t>
            </w:r>
          </w:p>
          <w:p w:rsidR="00833598" w:rsidRPr="00E435B1" w:rsidRDefault="00833598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Fe2O3 - 0,3-0,6</w:t>
            </w:r>
          </w:p>
          <w:p w:rsidR="00833598" w:rsidRPr="00E435B1" w:rsidRDefault="00833598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CaO - 1,33-2,70</w:t>
            </w:r>
          </w:p>
          <w:p w:rsidR="00833598" w:rsidRPr="00E435B1" w:rsidRDefault="00833598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MgO - 1,25-2,80</w:t>
            </w:r>
          </w:p>
          <w:p w:rsidR="00833598" w:rsidRPr="00E435B1" w:rsidRDefault="00833598" w:rsidP="00946DB5">
            <w:r w:rsidRPr="00E435B1">
              <w:t>ППП</w:t>
            </w:r>
            <w:r w:rsidRPr="00E435B1">
              <w:t> - 10,0</w:t>
            </w:r>
          </w:p>
        </w:tc>
      </w:tr>
    </w:tbl>
    <w:p w:rsidR="00833598" w:rsidRPr="00E435B1" w:rsidRDefault="00833598" w:rsidP="00833598">
      <w:pPr>
        <w:spacing w:before="120"/>
        <w:ind w:firstLine="567"/>
        <w:jc w:val="both"/>
      </w:pPr>
      <w:r w:rsidRPr="00E435B1">
        <w:t> ППП - потери при прокаливании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Катализаторы готовили на основе промышленного шарикового алюмокремнегеля с катализаторного производства ОАО Салаватнефтеоргсинтез. </w:t>
      </w:r>
    </w:p>
    <w:p w:rsidR="00833598" w:rsidRPr="00796409" w:rsidRDefault="00833598" w:rsidP="00833598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Методика исследований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Трошковскую глину сушили при 1200 С в течение 6 часов, измельчали в фарфоровой ступке и отбирали ситовым способом фракцию менее 0,25 мм. В глину предварительно вводили 12</w:t>
      </w:r>
      <w:r>
        <w:t xml:space="preserve"> </w:t>
      </w:r>
      <w:r w:rsidRPr="00E435B1">
        <w:t xml:space="preserve">% цеолита NaY в редкоземельной форме в виде водной суспензии. Шарики сырого алюмокремнегеля отделяли от раствора на сите 2-3 мм </w:t>
      </w:r>
      <w:r>
        <w:t xml:space="preserve"> </w:t>
      </w:r>
      <w:r w:rsidRPr="00E435B1">
        <w:t>и подсушивали на фильтровальной бумаге в течение 5 часов при комнатной температуре. Подсушенные шарики гидрогеля измельчали в фарфоровой ступке. Измельченную массу переносили в фарфоровую чашку с глиной и тщательно перемешивали. Полученную массу формовали в виде цилиндриков диаметром 9 мм и высотой 8-9 мм с помощью специального шприца. Цилиндрики сушили на воздухе при комнатной температуре в течение суток, в сушильном шкафу при 1200 С в течение 6 часов, прокаливали в стандартных условиях (4500 С - 6 часов, 6500 С - 4 часа [4]), прочность катализатора определяли по стандартной методике на приборе ПК-1. Также по стандартной методике определяли кажущуюся и насыпную плотности и удельный объем пор катализатора. Активность синтезированных катализаторов определяли на стандартной установке проточного типа [4] по выходу бензина, с пределами кипения НК - 2000 С. Выход бензина определяется перегонкой из колбы с дефлегматором на стандартной установке [4]. Условия крекинга сырья и перегонки жидких продуктов крекинга стандартизованы.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Активность катализатора рассчитывали по формуле:</w:t>
      </w:r>
    </w:p>
    <w:p w:rsidR="00833598" w:rsidRPr="00E435B1" w:rsidRDefault="005E680D" w:rsidP="0083359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5pt;height:27.75pt">
            <v:imagedata r:id="rId4" o:title=""/>
          </v:shape>
        </w:pict>
      </w:r>
      <w:r w:rsidR="00833598" w:rsidRPr="00E435B1">
        <w:t xml:space="preserve">, % масс,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где: m - масса бензина с пределами кипения НК - 2000 С, г; </w:t>
      </w:r>
      <w:r w:rsidRPr="00E435B1">
        <w:t xml:space="preserve"> - плотность сырья при комнатной температуре, г/см3; V - объем пропущенного сырья, см3. </w:t>
      </w:r>
    </w:p>
    <w:p w:rsidR="00833598" w:rsidRPr="00796409" w:rsidRDefault="00833598" w:rsidP="00833598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Результаты и их обсуждение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Результаты исследования влияния добавок трошковской глины на активность, пористость и физико-механические свойства катализатора приведены в табл. 2.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Таблица 2.</w:t>
      </w:r>
    </w:p>
    <w:tbl>
      <w:tblPr>
        <w:tblW w:w="5000" w:type="pct"/>
        <w:tblCellSpacing w:w="7" w:type="dxa"/>
        <w:tblInd w:w="-1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4"/>
        <w:gridCol w:w="1699"/>
        <w:gridCol w:w="1664"/>
        <w:gridCol w:w="1670"/>
        <w:gridCol w:w="1546"/>
        <w:gridCol w:w="1573"/>
      </w:tblGrid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Содержание глины, % масс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Активность по диз-ой фракции, %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Прочность, кг/мм2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Кажущаяся плотность, г/см3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Насыпная плотность, г/см3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33598" w:rsidRPr="00E435B1" w:rsidRDefault="00833598" w:rsidP="00946DB5">
            <w:r w:rsidRPr="00E435B1">
              <w:t>Удельный объем пор, см3/г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26,8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0,43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0,56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0,73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27,0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0,51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0,82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0,57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0,71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29,0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0,74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0,58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0,70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4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32,0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0,80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0,84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0,58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0,69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6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34,4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0,86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0,85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0,58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0,67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8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37,0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0,90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0,87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0,58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0,61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10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34,4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0,98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0,92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0,58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0,60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14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32,0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1,14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0,95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0,59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0,57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20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29,1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1,20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0,99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0,60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0,53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60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29,0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3,35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1,13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0,65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0,41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80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27,8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4,64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1,27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0,74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0,31</w:t>
            </w:r>
          </w:p>
        </w:tc>
      </w:tr>
      <w:tr w:rsidR="00833598" w:rsidRPr="00E435B1" w:rsidTr="00946DB5">
        <w:trPr>
          <w:tblCellSpacing w:w="7" w:type="dxa"/>
        </w:trPr>
        <w:tc>
          <w:tcPr>
            <w:tcW w:w="87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98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26,3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6,36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1,51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598" w:rsidRPr="00E435B1" w:rsidRDefault="00833598" w:rsidP="00946DB5">
            <w:r w:rsidRPr="00E435B1">
              <w:t>0,92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33598" w:rsidRPr="00E435B1" w:rsidRDefault="00833598" w:rsidP="00946DB5">
            <w:r w:rsidRPr="00E435B1">
              <w:t>0,20</w:t>
            </w:r>
          </w:p>
        </w:tc>
      </w:tr>
    </w:tbl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На рис. 1 показано влияние содержания глины на активность катализатора. </w:t>
      </w:r>
    </w:p>
    <w:p w:rsidR="00833598" w:rsidRPr="00E435B1" w:rsidRDefault="005E680D" w:rsidP="00833598">
      <w:pPr>
        <w:spacing w:before="120"/>
        <w:ind w:firstLine="567"/>
        <w:jc w:val="both"/>
      </w:pPr>
      <w:r>
        <w:pict>
          <v:shape id="_x0000_i1026" type="#_x0000_t75" alt="" style="width:205.5pt;height:159.75pt">
            <v:imagedata r:id="rId5" o:title=""/>
          </v:shape>
        </w:pict>
      </w:r>
      <w:r w:rsidR="00833598" w:rsidRPr="00E435B1">
        <w:t>Рис. 1.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Как видно из рисунка, с повышением содержания глины от 1 до 8</w:t>
      </w:r>
      <w:r>
        <w:t xml:space="preserve"> </w:t>
      </w:r>
      <w:r w:rsidRPr="00E435B1">
        <w:t>% активность катализатора в реакции крекинга существенно увеличивается, от 27 до 37</w:t>
      </w:r>
      <w:r>
        <w:t xml:space="preserve"> </w:t>
      </w:r>
      <w:r w:rsidRPr="00E435B1">
        <w:t>% достигает максимума и при дальнейшем увеличении содержания глины до 20</w:t>
      </w:r>
      <w:r>
        <w:t xml:space="preserve"> </w:t>
      </w:r>
      <w:r w:rsidRPr="00E435B1">
        <w:t>% снижается до 29%. При содержании глины от 20 до 80</w:t>
      </w:r>
      <w:r>
        <w:t xml:space="preserve"> </w:t>
      </w:r>
      <w:r w:rsidRPr="00E435B1">
        <w:t>% активность катализатора практически не зависит от ее содержания.</w:t>
      </w:r>
    </w:p>
    <w:p w:rsidR="00833598" w:rsidRPr="00E435B1" w:rsidRDefault="005E680D" w:rsidP="00833598">
      <w:pPr>
        <w:spacing w:before="120"/>
        <w:ind w:firstLine="567"/>
        <w:jc w:val="both"/>
      </w:pPr>
      <w:r>
        <w:pict>
          <v:shape id="_x0000_i1027" type="#_x0000_t75" alt="" style="width:242.25pt;height:171pt">
            <v:imagedata r:id="rId6" o:title=""/>
          </v:shape>
        </w:pict>
      </w:r>
      <w:r w:rsidR="00833598" w:rsidRPr="00E435B1">
        <w:t>Рис. 2.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На рис. 2 показано влияние глины на пористость катализатора. Как видно из кривой 1, в изученном интервале концентраций глины удельный объем пор катализатора почти линейно уменьшается от 0,73 до 0,53 см3/г.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Обработка экспериментальных результатов методом наименьших квадратов показала, что изменение пористости катализатора удовлетворительно описывается уравнением прямой y=(a</w:t>
      </w:r>
      <w:r w:rsidRPr="00E435B1">
        <w:t xml:space="preserve"> </w:t>
      </w:r>
      <w:r w:rsidRPr="00E435B1">
        <w:t> a)x+(b</w:t>
      </w:r>
      <w:r w:rsidRPr="00E435B1">
        <w:t xml:space="preserve"> </w:t>
      </w:r>
      <w:r w:rsidRPr="00E435B1">
        <w:t> b), где х меняется от 0 до 20</w:t>
      </w:r>
      <w:r>
        <w:t xml:space="preserve"> </w:t>
      </w:r>
      <w:r w:rsidRPr="00E435B1">
        <w:t>%, коэффициент корреляции R=0,9773.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Наличие максимума на кривой активности объясняется следующим фактором. Реакция крекинга углеводородов протекает по кислотному механизму с участием кислот Бренстеда. Глубина реакции зависит от наличия кислотных центров в катализаторе и их доступности для углеводородов. Трошковская глина обладает кислотностью Бренстеда, но не имеет развитой пористой структуры. Алюмокремнегель обладает высокой пористостью. При смешивании небольших количеств глины с гидрогелем кислотные центры глины равномерно распределены в пористом гидрогеле и становятся доступными для углеводородов. С увеличением содержания глины до определенных пределов растет кислотность катализатора, что приводит к увеличению его активности. Однако увеличение содержания глины одновременно уменьшает пористость катализатора. И при определенном содержании глины из-за снижения пористости затрудняется доступ углеводородов к кислотным центрам катализатора, что проявляется в уменьшении его активности. Поэтому существует оптимальная концентрация глины, равная 10</w:t>
      </w:r>
      <w:r>
        <w:t xml:space="preserve"> </w:t>
      </w:r>
      <w:r w:rsidRPr="00E435B1">
        <w:t>%, при которой активность катализатора максимальна. Одна из кривых рис. 2 отражает изменение прочности катализатора при добавке глины. Во всем интервале изменения концентрации глины 1-20</w:t>
      </w:r>
      <w:r>
        <w:t xml:space="preserve"> </w:t>
      </w:r>
      <w:r w:rsidRPr="00E435B1">
        <w:t>% прочность катализатора увеличивается. Особенно резкое увеличение прочности наблюдается при добавке небольших количеств глины. Так, при добавке всего 4</w:t>
      </w:r>
      <w:r>
        <w:t xml:space="preserve"> </w:t>
      </w:r>
      <w:r w:rsidRPr="00E435B1">
        <w:t>% глины прочность катализатора увеличивается от 0,43 до 0,80 кг/мм2, т.е. почти в 2 раза. Это уменьшает износ катализатора и его потери с отходящими газами регенерации и с продуктами крекинга.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На рис. 3 приведены данные по влиянию добавок глины на насыпную и кажущуюся плотность катализатора. В интервале концентраций глины от 1 до 20</w:t>
      </w:r>
      <w:r>
        <w:t xml:space="preserve"> </w:t>
      </w:r>
      <w:r w:rsidRPr="00E435B1">
        <w:t>% насыпная плотность катализатора увеличивается незначительно, от 0,5 до 0,6 г/см3. Кажущаяся плотность, которая косвенно характеризует пористость катализатора, в том же интервале концентраций глины увеличивается от 0,8 до 1,0 г/см3.</w:t>
      </w:r>
    </w:p>
    <w:p w:rsidR="00833598" w:rsidRPr="00E435B1" w:rsidRDefault="005E680D" w:rsidP="00833598">
      <w:pPr>
        <w:spacing w:before="120"/>
        <w:ind w:firstLine="567"/>
        <w:jc w:val="both"/>
      </w:pPr>
      <w:r>
        <w:pict>
          <v:shape id="_x0000_i1028" type="#_x0000_t75" alt="" style="width:233.25pt;height:153pt">
            <v:imagedata r:id="rId7" o:title=""/>
          </v:shape>
        </w:pict>
      </w:r>
      <w:r w:rsidR="00833598" w:rsidRPr="00E435B1">
        <w:t>Рис. 3.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Резюме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>Введение в количестве до 8 % от катализатора трошковской глины приводит к увеличению активности катализатора крекинга по сравнению с промышленным на 10%. Прочность катализатора с содержанием 20% глины в 3 раза выше, чем промышленного.</w:t>
      </w:r>
    </w:p>
    <w:p w:rsidR="00833598" w:rsidRPr="00796409" w:rsidRDefault="00833598" w:rsidP="00833598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Список литературы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Мегедь Н.Ф., Мирский Я.В., Зозуля В.И. и др. Физико-химические свойства перспективного микросферического катализатора “микроцеокар” // Труды ГрозНИИ. Вып. 33. 1978. С. 66-71.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Калико М.А., Федотова Т.В. Научные основы подбора и производства катализаторов. Новосибирск: СО АН СССР, 1964. С. 379-390.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Минибаев А.В., Загидуллин Р.Р., Еникеев Т.Р. Активация алюмосиликатного катализатора каолином // Вестник Башкирского университета. 1996. № 3 (I). С. 28-31. </w:t>
      </w:r>
    </w:p>
    <w:p w:rsidR="00833598" w:rsidRPr="00E435B1" w:rsidRDefault="00833598" w:rsidP="00833598">
      <w:pPr>
        <w:spacing w:before="120"/>
        <w:ind w:firstLine="567"/>
        <w:jc w:val="both"/>
      </w:pPr>
      <w:r w:rsidRPr="00E435B1">
        <w:t xml:space="preserve">ОСТ 38.01161-78.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598"/>
    <w:rsid w:val="00095BA6"/>
    <w:rsid w:val="0031418A"/>
    <w:rsid w:val="0051799C"/>
    <w:rsid w:val="005A2562"/>
    <w:rsid w:val="005E680D"/>
    <w:rsid w:val="00796409"/>
    <w:rsid w:val="00833598"/>
    <w:rsid w:val="00946DB5"/>
    <w:rsid w:val="00A44D32"/>
    <w:rsid w:val="00D31E5C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9D8F71-F0AA-4169-9BEC-259E4C3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9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6292</Characters>
  <Application>Microsoft Office Word</Application>
  <DocSecurity>0</DocSecurity>
  <Lines>52</Lines>
  <Paragraphs>14</Paragraphs>
  <ScaleCrop>false</ScaleCrop>
  <Company>Home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Активация алюмосиликатного катализатора трошковской глиной</dc:title>
  <dc:subject/>
  <dc:creator>Alena</dc:creator>
  <cp:keywords/>
  <dc:description/>
  <cp:lastModifiedBy>admin</cp:lastModifiedBy>
  <cp:revision>2</cp:revision>
  <dcterms:created xsi:type="dcterms:W3CDTF">2014-02-16T14:30:00Z</dcterms:created>
  <dcterms:modified xsi:type="dcterms:W3CDTF">2014-02-16T14:30:00Z</dcterms:modified>
</cp:coreProperties>
</file>