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003" w:rsidRDefault="00056697">
      <w:pPr>
        <w:pStyle w:val="1"/>
        <w:jc w:val="center"/>
      </w:pPr>
      <w:r>
        <w:t>Влияние осмотической нагрузки на морфологические параметры гемоцитов anodonta cgnea и dreissena polymorpha(mollusca bivalvia)</w:t>
      </w:r>
    </w:p>
    <w:p w:rsidR="003E6003" w:rsidRPr="00056697" w:rsidRDefault="00056697">
      <w:pPr>
        <w:pStyle w:val="a3"/>
      </w:pPr>
      <w:r>
        <w:t> </w:t>
      </w:r>
    </w:p>
    <w:p w:rsidR="003E6003" w:rsidRDefault="00056697">
      <w:pPr>
        <w:pStyle w:val="a3"/>
      </w:pPr>
      <w:r>
        <w:t>Нгуен Тхи Ле На, А.А. Присный</w:t>
      </w:r>
    </w:p>
    <w:p w:rsidR="003E6003" w:rsidRDefault="00056697">
      <w:pPr>
        <w:pStyle w:val="a3"/>
      </w:pPr>
      <w:r>
        <w:t>Белгородский государственный национальный исследовательский университет, Россия</w:t>
      </w:r>
    </w:p>
    <w:p w:rsidR="003E6003" w:rsidRDefault="00056697">
      <w:pPr>
        <w:pStyle w:val="a3"/>
      </w:pPr>
      <w:r>
        <w:t>Введение</w:t>
      </w:r>
    </w:p>
    <w:p w:rsidR="003E6003" w:rsidRDefault="00056697">
      <w:pPr>
        <w:pStyle w:val="a3"/>
      </w:pPr>
      <w:r>
        <w:t>В современной науке пристальное внимание уделяется вопросам, связанным с механизмами возникновения иммунных реакций в ответ на введение того или иного антигена. Рядом работ отечественных и зарубежных ученых [1-3] рассмотрено и показано разнообразие форм и многообразие функций, выполняемых гемоцитами (форменными элементами гемолимфы) брюхоногих. Изучена морфология клеточных элементов гемолимфы отдельных моллюсков [4-5].</w:t>
      </w:r>
    </w:p>
    <w:p w:rsidR="003E6003" w:rsidRDefault="00056697">
      <w:pPr>
        <w:pStyle w:val="a3"/>
      </w:pPr>
      <w:r>
        <w:t>Ведущая роль в защитных реакциях моллюсков принадлежит клеткам гемолимфы. Известно, что существуют различные морфотипы клеток гемолимфы, которые обладают определенной степенью подвижности по особым путям циркуляции и участвуют в инкапсуляции чужеродных объектов [6-7]. Однако информации о мембранных реакциях этих гемоцитов моллюсков на различные условия среды в доступной литературе не обнаружено.</w:t>
      </w:r>
    </w:p>
    <w:p w:rsidR="003E6003" w:rsidRDefault="00056697">
      <w:pPr>
        <w:pStyle w:val="a3"/>
      </w:pPr>
      <w:r>
        <w:t>В связи с вышесказанным целью данной работы является изучение влияния осмотической нагрузки на морфологические параметры гемоцитов Anodonta cignea и Dreissena polymorpha.</w:t>
      </w:r>
    </w:p>
    <w:p w:rsidR="003E6003" w:rsidRDefault="00056697">
      <w:pPr>
        <w:pStyle w:val="a3"/>
      </w:pPr>
      <w:r>
        <w:t>Объекты и методы исследования</w:t>
      </w:r>
    </w:p>
    <w:p w:rsidR="003E6003" w:rsidRDefault="00056697">
      <w:pPr>
        <w:pStyle w:val="a3"/>
      </w:pPr>
      <w:r>
        <w:t>Исследования проведены в течение 2011-2013 годов на базе кафедры анатомии и физиологии живых организмов ФГАОУ ВПО «Белгородский государственный национальный исследовательский университет». В экспериментах были использованы животные, принадлежащие виду беззубка обыкновенная (Anodonta cignea) и дрейссена речная (Dreissena polymorpha).</w:t>
      </w:r>
    </w:p>
    <w:p w:rsidR="003E6003" w:rsidRDefault="00056697">
      <w:pPr>
        <w:pStyle w:val="a3"/>
      </w:pPr>
      <w:r>
        <w:t>Гемолимфу получали по стандартной методике [8]. Были проведены исследования с применением световой микроскопии (Nikon Eclipse Ti-E). Препараты фотографировали, по снимкам проводили измерения клеток, ядер, гранул и включений по длинной и короткой осям с помощью анализатора изображений «ВидеоТест» (ООО «Микроскоп Сервис», г. Санкт- Петербург).</w:t>
      </w:r>
    </w:p>
    <w:p w:rsidR="003E6003" w:rsidRDefault="00056697">
      <w:pPr>
        <w:pStyle w:val="a3"/>
      </w:pPr>
      <w:r>
        <w:t>Эффективность использования резерва клеточной поверхности гемоцитов оценивали в растворах NaCl 1,9 г/ л (гипотонический раствор) и 5,7 г/л (гипертонический раствор). Инкубацию проводили в течение 1 минуты. Далее изучали прижизненные особенности клеток, их морфометрические показатели с помощью оптического инвертированного микроскопа Nikon Digital Eclipse Ti-E. Получали фотографии в режиме реального времени и проводили линейные измерения, применяя анализатор изображений «Видео-Тест».</w:t>
      </w:r>
    </w:p>
    <w:p w:rsidR="003E6003" w:rsidRDefault="00056697">
      <w:pPr>
        <w:pStyle w:val="a3"/>
      </w:pPr>
      <w:r>
        <w:t>Полученные данные обрабатывали с использованием методов вариационной статистики.</w:t>
      </w:r>
    </w:p>
    <w:p w:rsidR="003E6003" w:rsidRDefault="00056697">
      <w:pPr>
        <w:pStyle w:val="a3"/>
      </w:pPr>
      <w:r>
        <w:t>Результаты и их обсуждение</w:t>
      </w:r>
    </w:p>
    <w:p w:rsidR="003E6003" w:rsidRDefault="00056697">
      <w:pPr>
        <w:pStyle w:val="a3"/>
      </w:pPr>
      <w:r>
        <w:t>В результате исследования при помощи светового микроскопа удается выделить 3 типа гемоцитов, которые отличаются друг от друга по морфологическим особенностям, размеру и количеству гранул.</w:t>
      </w:r>
    </w:p>
    <w:p w:rsidR="003E6003" w:rsidRDefault="00056697">
      <w:pPr>
        <w:pStyle w:val="a3"/>
      </w:pPr>
      <w:r>
        <w:t>В результате инкубирования гемолимфы Anodonta cignea с растворами различной ос- мотичности были получены следующие данные (табл. 1).</w:t>
      </w:r>
    </w:p>
    <w:p w:rsidR="003E6003" w:rsidRDefault="00056697">
      <w:pPr>
        <w:pStyle w:val="a3"/>
      </w:pPr>
      <w:r>
        <w:t>Таблица 1</w:t>
      </w:r>
    </w:p>
    <w:p w:rsidR="003E6003" w:rsidRDefault="00056697">
      <w:pPr>
        <w:pStyle w:val="a3"/>
      </w:pPr>
      <w:r>
        <w:t>Морфометрические параметры гемоцитов Anodonta cignea в растворах</w:t>
      </w:r>
    </w:p>
    <w:p w:rsidR="003E6003" w:rsidRDefault="00056697">
      <w:pPr>
        <w:pStyle w:val="a3"/>
      </w:pPr>
      <w:r>
        <w:t>различной осмотичности</w:t>
      </w:r>
    </w:p>
    <w:p w:rsidR="003E6003" w:rsidRDefault="00056697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92"/>
        <w:gridCol w:w="192"/>
        <w:gridCol w:w="192"/>
        <w:gridCol w:w="192"/>
      </w:tblGrid>
      <w:tr w:rsidR="003E6003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p w:rsidR="003E6003" w:rsidRPr="00056697" w:rsidRDefault="00056697">
            <w:pPr>
              <w:pStyle w:val="a3"/>
            </w:pPr>
            <w:r w:rsidRPr="00056697">
              <w:t>Типы</w:t>
            </w:r>
          </w:p>
          <w:p w:rsidR="003E6003" w:rsidRPr="00056697" w:rsidRDefault="00056697">
            <w:pPr>
              <w:pStyle w:val="a3"/>
            </w:pPr>
            <w:r w:rsidRPr="00056697">
              <w:t>клеток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Линейные размеры клеток по длинной оси, мкм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Линейные размеры клеток по короткой оси, мкм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Линейные размеры ядра по длинной оси, мкм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Линейные размеры ядра по короткой оси, мкм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3E6003" w:rsidRDefault="00056697">
            <w:r>
              <w:t>Гипотонический раствор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1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8,84±0,78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7,55±0,78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2,41±0,45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2,13±0,19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2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8,44±0,4б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8,07±0,83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4,35±0,91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3,87±0,45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13,21±1,32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10,15±1,2б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2,34±0,81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2,52±0,75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3E6003" w:rsidRDefault="00056697">
            <w:r>
              <w:t>Гипертонический раствор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1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7,15±0,44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6,37±0,46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2,33±0,36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2,07±0,32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2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6,53±0,43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6,53±0,79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4,21±0,34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3,69±0,66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8,54±0,78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6,93±0,47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2,68±0,39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2,02±0,37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3E6003" w:rsidRDefault="00056697">
            <w:r>
              <w:t>Изотонический раствор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1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7,84±0,66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7,1±0,63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2,37±0,35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2,19±0,34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2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7,42±0,90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6,55±0,93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4,15±0,82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3,69±0,77</w:t>
            </w:r>
          </w:p>
        </w:tc>
      </w:tr>
      <w:tr w:rsidR="003E6003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8,95±0,69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8,03±0,70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2,7б±0,40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2,38±0,20</w:t>
            </w:r>
          </w:p>
        </w:tc>
      </w:tr>
    </w:tbl>
    <w:p w:rsidR="003E6003" w:rsidRPr="00056697" w:rsidRDefault="00056697">
      <w:pPr>
        <w:pStyle w:val="a3"/>
      </w:pPr>
      <w:r>
        <w:t>В гипертоническом растворе, размер клеток уменьшается по сравнению с их размером в изотоническом растворе. Теоретически гипертонический раствор содержат хлорида натрия меньше чем его концентрация внутри мембран клеток. Вода выходит из клетки в среду. Но практически, размер гемоцитов несущественно изменяется в гипертоническом растворе относительно нормального раствора. Напротив, размер гемоцитов Anodonta cignea достигает максимальных значений в гипотоническом растворе. При этом, размер их ядер практически не изменяется в разных средах.</w:t>
      </w:r>
    </w:p>
    <w:p w:rsidR="003E6003" w:rsidRDefault="00056697">
      <w:pPr>
        <w:pStyle w:val="a3"/>
      </w:pPr>
      <w:r>
        <w:t>Выявлено, что при многократном отборе гемолимфы у одной особи Anodonta cignea, наблюдается увеличение численности гемоцитов первого и третьего типов. Это характеризует данные типы клеток как защитные элементы внутренней среды моллюска.</w:t>
      </w:r>
    </w:p>
    <w:p w:rsidR="003E6003" w:rsidRDefault="00056697">
      <w:pPr>
        <w:pStyle w:val="a3"/>
      </w:pPr>
      <w:r>
        <w:t>Установлено что гемоциты у Anodonta cignea, сохраняют жизнеспособность во влажной камере на протяжение 4-8 часов (в зависимости от объема пробы и физиологического состояния особи).</w:t>
      </w:r>
    </w:p>
    <w:p w:rsidR="003E6003" w:rsidRDefault="00056697">
      <w:pPr>
        <w:pStyle w:val="a3"/>
      </w:pPr>
      <w:r>
        <w:t>У Dreissena polymorpha идентифицировано 3 типа клеток, которые отличаются друг от друга по морфологическим особенностям и их размеру и количеству гранул. При сравнении морфометрических параметров гемоцитов Dreissena polymorpha и Anodonta cignea выявлено, что размеры у Dreissena polymorpha меньше.</w:t>
      </w:r>
    </w:p>
    <w:p w:rsidR="003E6003" w:rsidRDefault="00056697">
      <w:pPr>
        <w:pStyle w:val="a3"/>
      </w:pPr>
      <w:r>
        <w:t>В результате инкубирования гемолимфы Dreissena polymorpha с растворами различной осмотичности были получены следующие данные (таблица 2).</w:t>
      </w:r>
    </w:p>
    <w:p w:rsidR="003E6003" w:rsidRDefault="00056697">
      <w:pPr>
        <w:pStyle w:val="a3"/>
      </w:pPr>
      <w:r>
        <w:t>Таблица 2</w:t>
      </w:r>
    </w:p>
    <w:p w:rsidR="003E6003" w:rsidRDefault="00056697">
      <w:pPr>
        <w:pStyle w:val="a3"/>
      </w:pPr>
      <w:r>
        <w:t>Морфометрические параметры гемоцитов Dreissena polymorpha в растворах</w:t>
      </w:r>
    </w:p>
    <w:p w:rsidR="003E6003" w:rsidRDefault="00056697">
      <w:pPr>
        <w:pStyle w:val="a3"/>
      </w:pPr>
      <w:r>
        <w:t>различной осмотичности</w:t>
      </w:r>
    </w:p>
    <w:p w:rsidR="003E6003" w:rsidRDefault="00056697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"/>
        <w:gridCol w:w="192"/>
        <w:gridCol w:w="192"/>
        <w:gridCol w:w="192"/>
        <w:gridCol w:w="192"/>
      </w:tblGrid>
      <w:tr w:rsidR="003E6003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3E6003" w:rsidRPr="00056697" w:rsidRDefault="00056697">
            <w:pPr>
              <w:pStyle w:val="a3"/>
            </w:pPr>
            <w:r w:rsidRPr="00056697">
              <w:t>Типы</w:t>
            </w:r>
          </w:p>
          <w:p w:rsidR="003E6003" w:rsidRPr="00056697" w:rsidRDefault="00056697">
            <w:pPr>
              <w:pStyle w:val="a3"/>
            </w:pPr>
            <w:r w:rsidRPr="00056697">
              <w:t>клеток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Линейные размеры клеток по длинной оси, мкм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Линейные размеры клеток по короткой оси, мкм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Линейные размеры ядра по длинной оси, мкм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Линейные размеры ядра по короткой оси, мкм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3E6003" w:rsidRDefault="00056697">
            <w:r>
              <w:t>Гипотонический раствор</w:t>
            </w:r>
          </w:p>
        </w:tc>
      </w:tr>
      <w:tr w:rsidR="003E6003">
        <w:trPr>
          <w:trHeight w:val="36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1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6,70±0,79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5,74±0,13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2,20±0,31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2,01±0,45</w:t>
            </w:r>
          </w:p>
        </w:tc>
      </w:tr>
      <w:tr w:rsidR="003E6003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2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8,02±0,79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7,48±0,83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3,21±0,47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3,07±0,52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10,15±0,78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8,47±1,17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2,84±0,37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2,49±0,63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3E6003" w:rsidRDefault="00056697">
            <w:r>
              <w:t>Гипертонический раствор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1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5,52±0,5б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4,80±0,57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2,19±0,47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1,79±0,4б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2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5,33±0,93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4,98±0,86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2,84±0,58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2,47±0,65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8,35±1,28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6,33±0,91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2,81±0,41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2,39±0,33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3E6003" w:rsidRDefault="00056697">
            <w:r>
              <w:t>Изотонический раствор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1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5,92±1,1б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5,1±0,9б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1,97±0,35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1,75±0,31</w:t>
            </w:r>
          </w:p>
        </w:tc>
      </w:tr>
      <w:tr w:rsidR="003E6003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2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6,61±0,63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6,15±0,63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2,85±0,57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2,58±0,49</w:t>
            </w:r>
          </w:p>
        </w:tc>
      </w:tr>
      <w:tr w:rsidR="003E6003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3E6003" w:rsidRDefault="00056697">
            <w:r>
              <w:t>Тип 3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8,75±1,27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7,17±0,7б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2,74±0,29</w:t>
            </w:r>
          </w:p>
        </w:tc>
        <w:tc>
          <w:tcPr>
            <w:tcW w:w="0" w:type="auto"/>
            <w:vAlign w:val="center"/>
            <w:hideMark/>
          </w:tcPr>
          <w:p w:rsidR="003E6003" w:rsidRDefault="00056697">
            <w:r>
              <w:t>2,60±0,40</w:t>
            </w:r>
          </w:p>
        </w:tc>
      </w:tr>
    </w:tbl>
    <w:p w:rsidR="003E6003" w:rsidRPr="00056697" w:rsidRDefault="00056697">
      <w:pPr>
        <w:pStyle w:val="a3"/>
      </w:pPr>
      <w:r>
        <w:t>Результаты исследования подтверждают точку зрения, что при нарушении изотонич- ности клеток вода осуществляет пассивный транспорт через мембрану и клеточные объемы претерпевают изменения. Для сохранения оптимального уровня обмена веществ очень важно, чтобы объем клетки и ее ионный состав оставались относительно постоянными. Регуляция</w:t>
      </w:r>
    </w:p>
    <w:p w:rsidR="003E6003" w:rsidRDefault="00056697">
      <w:pPr>
        <w:pStyle w:val="a3"/>
      </w:pPr>
      <w:r>
        <w:t>объема при этом зависит от транспорта воды и от осмотической резистентности гемоцитов, пути поддержания которой универсальны в клетках животных.</w:t>
      </w:r>
    </w:p>
    <w:p w:rsidR="003E6003" w:rsidRDefault="00056697">
      <w:pPr>
        <w:pStyle w:val="a3"/>
      </w:pPr>
      <w:r>
        <w:t>Заключение</w:t>
      </w:r>
    </w:p>
    <w:p w:rsidR="003E6003" w:rsidRDefault="00056697">
      <w:pPr>
        <w:pStyle w:val="a3"/>
      </w:pPr>
      <w:r>
        <w:t>В результате проведенных исследований осуществлено определение морфометрических параметров гемоцитов, инкубированных в растворах разной осмотичности. Наибольшие изменения размеров отмечены для гемоцитов первого типы у представителей исследованных видов.</w:t>
      </w:r>
    </w:p>
    <w:p w:rsidR="003E6003" w:rsidRDefault="00056697">
      <w:pPr>
        <w:pStyle w:val="a3"/>
      </w:pPr>
      <w:r>
        <w:t>Список литературы</w:t>
      </w:r>
    </w:p>
    <w:p w:rsidR="003E6003" w:rsidRDefault="00056697">
      <w:pPr>
        <w:pStyle w:val="a3"/>
      </w:pPr>
      <w:r>
        <w:t>Заварзин А.А. Основы сравнительной гистологии. - Л.: Изд-во Ленинградского университета. - - 400 с.</w:t>
      </w:r>
    </w:p>
    <w:p w:rsidR="003E6003" w:rsidRDefault="00056697">
      <w:pPr>
        <w:pStyle w:val="a3"/>
      </w:pPr>
      <w:r>
        <w:t>Стадниченко А.П., Стадниченко Ю.А. О воздействии личинок горчака на пластинчатожаберного моллюска Unio rostratus gentilis Haas. / Гидробиологический журнал. - 1981. - Т. 17, № 5. - С. 57-61.</w:t>
      </w:r>
    </w:p>
    <w:p w:rsidR="003E6003" w:rsidRDefault="00056697">
      <w:pPr>
        <w:pStyle w:val="a3"/>
      </w:pPr>
      <w:r>
        <w:t>Adamowicz A., Bolaczek M. Blood Cells Morphology Of The Snail Helix Aspersa Maxima (Helicidae). - Zoologica Poloniae. - 2003. - Vol. 48. - P. 93-101.</w:t>
      </w:r>
    </w:p>
    <w:p w:rsidR="003E6003" w:rsidRDefault="00056697">
      <w:pPr>
        <w:pStyle w:val="a3"/>
      </w:pPr>
      <w:r>
        <w:t>ХлусЛ.М. ЦитолопчнахарактеристикагемолiмфиHelix lutescens Rssm. таHelix albescens Rssm. урiзнихфiзiологiчнихстанах// Клшчнатаекспериментальнапатолопя. - 2003. - Т.2. - № 1. - С. 89-92.</w:t>
      </w:r>
    </w:p>
    <w:p w:rsidR="003E6003" w:rsidRDefault="00056697">
      <w:pPr>
        <w:pStyle w:val="a3"/>
      </w:pPr>
      <w:r>
        <w:t>Wootton E.C., Pipe R.K. Structual and functional characterisation of the blood cells of the bivalve mollusc Scrobularia plana. - Fish and Shellfish Immunology. - 2003. - Vol. 15. - P. 249-262.</w:t>
      </w:r>
    </w:p>
    <w:p w:rsidR="003E6003" w:rsidRDefault="00056697">
      <w:pPr>
        <w:pStyle w:val="a3"/>
      </w:pPr>
      <w:r>
        <w:t>Присный А.А., Пигалева Т.А., Кулько С.В. Морфофункциональные особенности гемоцитов сухопутных брюхоногих моллюсков // Фундаментальные исследования. - 2011. - № 5. - С. 206-210.</w:t>
      </w:r>
    </w:p>
    <w:p w:rsidR="003E6003" w:rsidRDefault="00056697">
      <w:pPr>
        <w:pStyle w:val="a3"/>
      </w:pPr>
      <w:r>
        <w:t>Присный А.А., Кулько С.В. Морфофункциональные особенности гемоцитов брюхоногого моллюска Stenomphalia ravergieri (Ferussac) // Научные ведомости Белгородского государственного университета. Серия Естественные науки. - 2012. - № 9 (128). Вып. 19. - С. 90-94.</w:t>
      </w:r>
    </w:p>
    <w:p w:rsidR="003E6003" w:rsidRDefault="00056697">
      <w:pPr>
        <w:pStyle w:val="a3"/>
      </w:pPr>
      <w:r>
        <w:t>Присный А.А. Практикум по физиологии беспозвоночных животных. - Белгород: ИД «Белгород» НИУ «БелГУ», 2013. - 116 с.</w:t>
      </w:r>
      <w:bookmarkStart w:id="0" w:name="_GoBack"/>
      <w:bookmarkEnd w:id="0"/>
    </w:p>
    <w:sectPr w:rsidR="003E60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697"/>
    <w:rsid w:val="00056697"/>
    <w:rsid w:val="003E6003"/>
    <w:rsid w:val="0069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E155A-F2B3-43A6-BCB2-E1A378E7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1188</Words>
  <Characters>6775</Characters>
  <Application>Microsoft Office Word</Application>
  <DocSecurity>0</DocSecurity>
  <Lines>56</Lines>
  <Paragraphs>15</Paragraphs>
  <ScaleCrop>false</ScaleCrop>
  <Company>diakov.net</Company>
  <LinksUpToDate>false</LinksUpToDate>
  <CharactersWithSpaces>7948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осмотической нагрузки на морфологические параметры гемоцитов anodonta cgnea и dreissena polymorpha(mollusca bivalvia)</dc:title>
  <dc:subject/>
  <dc:creator>Irina</dc:creator>
  <cp:keywords/>
  <dc:description/>
  <cp:lastModifiedBy>Irina</cp:lastModifiedBy>
  <cp:revision>2</cp:revision>
  <dcterms:created xsi:type="dcterms:W3CDTF">2014-08-02T20:23:00Z</dcterms:created>
  <dcterms:modified xsi:type="dcterms:W3CDTF">2014-08-02T20:23:00Z</dcterms:modified>
</cp:coreProperties>
</file>