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AD7558" w:rsidRPr="00466D35" w:rsidTr="0065054B">
        <w:trPr>
          <w:trHeight w:val="13385"/>
        </w:trPr>
        <w:tc>
          <w:tcPr>
            <w:tcW w:w="3060" w:type="dxa"/>
          </w:tcPr>
          <w:p w:rsidR="007B2676" w:rsidRDefault="007B2676" w:rsidP="00025BB4">
            <w:pPr>
              <w:pStyle w:val="a3"/>
              <w:ind w:hanging="113"/>
              <w:rPr>
                <w:i w:val="0"/>
                <w:sz w:val="12"/>
                <w:szCs w:val="12"/>
              </w:rPr>
            </w:pPr>
          </w:p>
          <w:p w:rsidR="00AD7558" w:rsidRPr="00466D35" w:rsidRDefault="00AD7558" w:rsidP="00025BB4">
            <w:pPr>
              <w:pStyle w:val="a3"/>
              <w:ind w:hanging="113"/>
              <w:rPr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 xml:space="preserve">Аваль – </w:t>
            </w:r>
            <w:r w:rsidRPr="00466D35">
              <w:rPr>
                <w:b w:val="0"/>
                <w:i w:val="0"/>
                <w:sz w:val="12"/>
                <w:szCs w:val="12"/>
              </w:rPr>
              <w:t>вексельное поручительство. Обязательство уплатить по векселю вместо лица, за которого дается соответствующее поручительство. Проставляется на лицевой стороне векселя в виде подписи  авалиста и указания, за кого он выдан.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Акции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- ценные бумаги, удостоверяющие право их владельца на долю в собственных средствах акционерного общества, на получение дохода от его деятельности и,  как правило, на участие в управлении этим обществом.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Базисный актив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–актив (ценная бумага, валюта, индикатор финансового рынка), обязательства по покупке или продаже которого фиксируются в производной ценной бумаге (опционе или фьючерсе).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Биржевой клиринг</w:t>
            </w:r>
            <w:r w:rsidRPr="00466D35">
              <w:rPr>
                <w:sz w:val="12"/>
                <w:szCs w:val="12"/>
              </w:rPr>
              <w:t xml:space="preserve"> – зачет взаимных требований и обязательств между участниками биржевой торговли, основанный на установлении того, кто, кому, и в какие сроки должен уплатить деньги и поставить биржевой актив.</w:t>
            </w:r>
          </w:p>
          <w:p w:rsidR="00AD7558" w:rsidRPr="00466D35" w:rsidRDefault="00AD7558" w:rsidP="00025BB4">
            <w:pPr>
              <w:pStyle w:val="2"/>
              <w:spacing w:after="0"/>
              <w:ind w:left="113" w:hanging="113"/>
              <w:jc w:val="both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Бланковый индоссамент</w:t>
            </w:r>
            <w:r w:rsidRPr="00466D35">
              <w:rPr>
                <w:sz w:val="12"/>
                <w:szCs w:val="12"/>
              </w:rPr>
              <w:t xml:space="preserve"> – передаточная надпись на векселе, превращающая его в предъявительскую бумагу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Брокер</w:t>
            </w:r>
            <w:r w:rsidRPr="00466D35">
              <w:rPr>
                <w:sz w:val="12"/>
                <w:szCs w:val="12"/>
              </w:rPr>
              <w:t xml:space="preserve"> - профессиональный участник фондового рынка, который заключает сделки от имени и по поручению своих клиентов и за их счет.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Бронзовый вексель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вексель, выписанный на вымышленное лицо.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Вексель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 -  это составленное по установленной законом форме безусловное письменное долговое денежное обязательство, выданное одной стороной (векселедателем)  другой  стороне  (векселедержателю)</w:t>
            </w:r>
          </w:p>
          <w:p w:rsidR="00AD7558" w:rsidRPr="00466D35" w:rsidRDefault="00AD7558" w:rsidP="00025BB4">
            <w:pPr>
              <w:pStyle w:val="a5"/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Вексельная давность</w:t>
            </w:r>
            <w:r w:rsidRPr="00466D35">
              <w:rPr>
                <w:sz w:val="12"/>
                <w:szCs w:val="12"/>
              </w:rPr>
              <w:t xml:space="preserve"> – установленный законом п</w:t>
            </w:r>
            <w:r w:rsidRPr="00466D35">
              <w:rPr>
                <w:snapToGrid w:val="0"/>
                <w:color w:val="000000"/>
                <w:sz w:val="12"/>
                <w:szCs w:val="12"/>
              </w:rPr>
              <w:t>ериод времени</w:t>
            </w:r>
            <w:r w:rsidRPr="00466D35">
              <w:rPr>
                <w:rFonts w:ascii="a_FuturaOrto" w:hAnsi="a_FuturaOrto"/>
                <w:snapToGrid w:val="0"/>
                <w:color w:val="000000"/>
                <w:sz w:val="12"/>
                <w:szCs w:val="12"/>
              </w:rPr>
              <w:t xml:space="preserve">  для осуществления судебного взыскания по векселю.</w:t>
            </w:r>
          </w:p>
          <w:p w:rsidR="00AD7558" w:rsidRPr="00466D35" w:rsidRDefault="00AD7558" w:rsidP="00025BB4">
            <w:pPr>
              <w:pStyle w:val="2"/>
              <w:spacing w:after="0"/>
              <w:ind w:left="113" w:hanging="113"/>
              <w:jc w:val="both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Вексельные реквизиты</w:t>
            </w:r>
            <w:r w:rsidRPr="00466D35">
              <w:rPr>
                <w:sz w:val="12"/>
                <w:szCs w:val="12"/>
              </w:rPr>
              <w:t xml:space="preserve"> - т</w:t>
            </w:r>
            <w:r w:rsidRPr="00466D35">
              <w:rPr>
                <w:snapToGrid w:val="0"/>
                <w:color w:val="000000"/>
                <w:sz w:val="12"/>
                <w:szCs w:val="12"/>
              </w:rPr>
              <w:t>е элементы, указания, части вексельного содержания, которые вместе составляют вексельное обязательство и при отсутствии которых  документ лишается вексельной силы.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Временная ценность опциона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часть премии, уплачиваемой за опцион, определяемая курсовыми ожиданиями участников рынка.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«Голубые фишки»</w:t>
            </w:r>
            <w:r w:rsidRPr="00466D35">
              <w:rPr>
                <w:sz w:val="12"/>
                <w:szCs w:val="12"/>
              </w:rPr>
              <w:t xml:space="preserve"> - наиболее ликвидные акции крупных, высоконадежных и хорошо известных на рынке компаний 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Двойной непрерывный аукцион</w:t>
            </w:r>
            <w:r w:rsidRPr="00466D35">
              <w:rPr>
                <w:sz w:val="12"/>
                <w:szCs w:val="12"/>
              </w:rPr>
              <w:t xml:space="preserve"> – система организации торговли ценными бумагами при которой курс устанавливается в результате одновременной конкуренции продавцов и покупателей за лучшие условия продажи или покупки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Депозитарий</w:t>
            </w:r>
            <w:r w:rsidRPr="00466D35">
              <w:rPr>
                <w:sz w:val="12"/>
                <w:szCs w:val="12"/>
              </w:rPr>
              <w:t xml:space="preserve"> – профессиональный участник рынка ценных бумаг, оказывающий услуги по хранению сертификатов ценных бумаг и/или учету и переходу прав на ценные бумаги.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Дилер</w:t>
            </w:r>
            <w:r w:rsidRPr="00466D35">
              <w:rPr>
                <w:sz w:val="12"/>
                <w:szCs w:val="12"/>
              </w:rPr>
              <w:t xml:space="preserve"> - профессиональный участник рынка ценных бумаг, покупающий и продающий ценные бумаги за собственный счет путем публичного  объявления твердых одно- или  двухсторонних котировок.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Дисконтные облигации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облигации, доход по которым устанавливается в виде разницы между номиналом и более низкой ценой продажи.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«Длинная позиция»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- совокупность прав и обязанностей инвестора, возникших в результате заключения сделки купли одного срочного инструмента данной серии.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Доходность ценной бумаги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показатель эффективности вложений средств в данную бумагу. Определяется как процентное отношение полученного по ней дохода в виде дивиденда или купонных выплат плюс-минус изменение курсовой цены за период держания ее инвестором к затратам на ее покупку,  приведенное к годовому исчислению.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Дробление акций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конвертация</w:t>
            </w:r>
            <w:r w:rsidRPr="00466D35">
              <w:rPr>
                <w:sz w:val="12"/>
                <w:szCs w:val="12"/>
              </w:rPr>
              <w:t xml:space="preserve"> </w:t>
            </w:r>
            <w:r w:rsidRPr="00466D35">
              <w:rPr>
                <w:b w:val="0"/>
                <w:i w:val="0"/>
                <w:snapToGrid w:val="0"/>
                <w:color w:val="000000"/>
                <w:sz w:val="12"/>
                <w:szCs w:val="12"/>
              </w:rPr>
              <w:t xml:space="preserve">одной акции общества в две или более акций той же категории (типа). 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sz w:val="12"/>
                <w:szCs w:val="12"/>
              </w:rPr>
              <w:t>Дружеский вексель</w:t>
            </w:r>
            <w:r w:rsidRPr="00466D35">
              <w:rPr>
                <w:b w:val="0"/>
                <w:sz w:val="12"/>
                <w:szCs w:val="12"/>
              </w:rPr>
              <w:t xml:space="preserve"> – 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вексель, </w:t>
            </w:r>
            <w:r w:rsidRPr="00466D35">
              <w:rPr>
                <w:b w:val="0"/>
                <w:i w:val="0"/>
                <w:snapToGrid w:val="0"/>
                <w:color w:val="000000"/>
                <w:sz w:val="12"/>
                <w:szCs w:val="12"/>
              </w:rPr>
              <w:t xml:space="preserve">выдаваемый одним лицом другому без намерения векселедателя произвести по ним платеж, а лишь с целью получения денежных средств путем взаимного учета векселей в банке. 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Дюрация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–средневзвешенный срок до погашения долга. В качестве весов выступают доли стоимости различных видов бумаг в суммарной стоимости долга.</w:t>
            </w:r>
          </w:p>
        </w:tc>
        <w:tc>
          <w:tcPr>
            <w:tcW w:w="3060" w:type="dxa"/>
          </w:tcPr>
          <w:p w:rsidR="00AD7558" w:rsidRPr="00466D35" w:rsidRDefault="00AD7558" w:rsidP="00025BB4">
            <w:pPr>
              <w:pStyle w:val="2"/>
              <w:spacing w:after="0"/>
              <w:ind w:left="113" w:hanging="113"/>
              <w:jc w:val="both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Индоссамент</w:t>
            </w:r>
            <w:r w:rsidRPr="00466D35">
              <w:rPr>
                <w:sz w:val="12"/>
                <w:szCs w:val="12"/>
              </w:rPr>
              <w:t xml:space="preserve"> - передаточная  надпись, проставленная на оборотной стороне векселя, удостоверяет переход прав по векселю другому лицу.  Имеет следующий вид: «Платите приказу» или  «Вместо  меня/нас уплатите (заплатите)». При этом лицо, передающее вексель по индоссаменту, называется индоссантом; лицо,  получающее вексель по индоссаменту, - индоссатом или индоссатором, а само действие передачи векселя называется индоссированием или индоссацией векселя.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Клиринг</w:t>
            </w:r>
            <w:r w:rsidRPr="00466D35">
              <w:rPr>
                <w:sz w:val="12"/>
                <w:szCs w:val="12"/>
              </w:rPr>
              <w:t xml:space="preserve"> – система расчетов на фондовой бирже, обеспечивающая контроль за тем, чтобы все сделки, заключенные на бирже, правильно адресовались и выверялись. Задачей клиринговой системы является установление и подтверждение параметров всех заключенных в данной системе сделок и иногда подведение итогов. 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Клиринговая (расчетная) палата</w:t>
            </w:r>
            <w:r w:rsidRPr="00466D35">
              <w:rPr>
                <w:sz w:val="12"/>
                <w:szCs w:val="12"/>
              </w:rPr>
              <w:t xml:space="preserve"> – структурное подразделение фондовой биржи, выполняющее функции по регистрации контрактов, учету обязательств участников биржевой торговли. При осуществлении срочных сделок выступает стороной по контракту и гарантирует их исполнение. 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Конвертируемая облигация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облигация, условия выпуска которой предполагают возможность ее погашения акциями компании.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Консолидация акций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</w:t>
            </w:r>
            <w:r w:rsidRPr="00466D35">
              <w:rPr>
                <w:sz w:val="12"/>
                <w:szCs w:val="12"/>
              </w:rPr>
              <w:t xml:space="preserve">– </w:t>
            </w:r>
            <w:r w:rsidRPr="00466D35">
              <w:rPr>
                <w:b w:val="0"/>
                <w:i w:val="0"/>
                <w:snapToGrid w:val="0"/>
                <w:color w:val="000000"/>
                <w:sz w:val="12"/>
                <w:szCs w:val="12"/>
              </w:rPr>
              <w:t>конвертация</w:t>
            </w:r>
            <w:r w:rsidRPr="00466D35">
              <w:rPr>
                <w:snapToGrid w:val="0"/>
                <w:color w:val="000000"/>
                <w:sz w:val="12"/>
                <w:szCs w:val="12"/>
              </w:rPr>
              <w:t xml:space="preserve"> </w:t>
            </w:r>
            <w:r w:rsidRPr="00466D35">
              <w:rPr>
                <w:b w:val="0"/>
                <w:i w:val="0"/>
                <w:snapToGrid w:val="0"/>
                <w:color w:val="000000"/>
                <w:sz w:val="12"/>
                <w:szCs w:val="12"/>
              </w:rPr>
              <w:t>дв</w:t>
            </w:r>
            <w:r w:rsidRPr="00466D35">
              <w:rPr>
                <w:snapToGrid w:val="0"/>
                <w:color w:val="000000"/>
                <w:sz w:val="12"/>
                <w:szCs w:val="12"/>
              </w:rPr>
              <w:t>ух</w:t>
            </w:r>
            <w:r w:rsidRPr="00466D35">
              <w:rPr>
                <w:b w:val="0"/>
                <w:i w:val="0"/>
                <w:snapToGrid w:val="0"/>
                <w:color w:val="000000"/>
                <w:sz w:val="12"/>
                <w:szCs w:val="12"/>
              </w:rPr>
              <w:t xml:space="preserve"> или более акций общества в одну новую акцию той же категории (типа).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Короткая</w:t>
            </w:r>
            <w:r w:rsidRPr="00466D35">
              <w:rPr>
                <w:b w:val="0"/>
                <w:sz w:val="12"/>
                <w:szCs w:val="12"/>
              </w:rPr>
              <w:t xml:space="preserve"> </w:t>
            </w:r>
            <w:r w:rsidRPr="00466D35">
              <w:rPr>
                <w:i w:val="0"/>
                <w:sz w:val="12"/>
                <w:szCs w:val="12"/>
              </w:rPr>
              <w:t xml:space="preserve">позиция – </w:t>
            </w:r>
            <w:r w:rsidRPr="00466D35">
              <w:rPr>
                <w:b w:val="0"/>
                <w:i w:val="0"/>
                <w:sz w:val="12"/>
                <w:szCs w:val="12"/>
              </w:rPr>
              <w:t>совокупность прав и обязанностей инвестора, возникших в результате заключения сделки продажи одного срочного инструмента данной серии.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Котировальный лист</w:t>
            </w:r>
            <w:r w:rsidRPr="00466D35">
              <w:rPr>
                <w:sz w:val="12"/>
                <w:szCs w:val="12"/>
              </w:rPr>
              <w:t xml:space="preserve"> – список ценных бумаг, допущенных к торговле на данной бирже. Российское законодательство предусматривает наличие котировальных листов I и II уровней, различающихся по жесткости требований к эмитентам и ценным бумагам.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Купонная облигация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облигация, доход по которой выплачивается в виде процентной ставки по займу, который, как правило, представляет собой фиксированную годовую сумму, выплачиваемую с оговоренной периодичностью.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Ликвидность  ценных бумаг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их способность обмениваться на деньги  без потерь в стоимости и во времени. 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Листинг</w:t>
            </w:r>
            <w:r w:rsidRPr="00466D35">
              <w:rPr>
                <w:sz w:val="12"/>
                <w:szCs w:val="12"/>
              </w:rPr>
              <w:t xml:space="preserve"> – процедура включения ценных бумаг в котировальный лист.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Маркет-мейкер</w:t>
            </w:r>
            <w:r w:rsidRPr="00466D35">
              <w:rPr>
                <w:sz w:val="12"/>
                <w:szCs w:val="12"/>
              </w:rPr>
              <w:t xml:space="preserve"> – дилер, принимающий на себя обязательства поддерживать котировки  по данным бумагам. 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Неорганизованный рынок</w:t>
            </w:r>
            <w:r w:rsidRPr="00466D35">
              <w:rPr>
                <w:sz w:val="12"/>
                <w:szCs w:val="12"/>
              </w:rPr>
              <w:t xml:space="preserve"> – обращение ценных бумаг без соблюдения единых для всех участников рынка правил.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i w:val="0"/>
                <w:snapToGrid w:val="0"/>
                <w:sz w:val="12"/>
                <w:szCs w:val="12"/>
              </w:rPr>
            </w:pPr>
            <w:r w:rsidRPr="00466D35">
              <w:rPr>
                <w:i w:val="0"/>
                <w:snapToGrid w:val="0"/>
                <w:sz w:val="12"/>
                <w:szCs w:val="12"/>
              </w:rPr>
              <w:t xml:space="preserve">Облигации – </w:t>
            </w:r>
            <w:r w:rsidRPr="00466D35">
              <w:rPr>
                <w:b w:val="0"/>
                <w:i w:val="0"/>
                <w:snapToGrid w:val="0"/>
                <w:sz w:val="12"/>
                <w:szCs w:val="12"/>
              </w:rPr>
              <w:t>эмиссионная ценная бумага, закрепляющая право ее держателя на получение от эмитента облигации в предусмотренный ею срок ее номинальной стоимости и зафиксированного в ней процента от этой стоимости или иного имущественного эквивалента.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napToGrid w:val="0"/>
                <w:sz w:val="12"/>
                <w:szCs w:val="12"/>
              </w:rPr>
              <w:t xml:space="preserve">Объявленные акции </w:t>
            </w:r>
            <w:r w:rsidRPr="00466D35">
              <w:rPr>
                <w:i w:val="0"/>
                <w:sz w:val="12"/>
                <w:szCs w:val="12"/>
              </w:rPr>
              <w:t>–</w:t>
            </w:r>
            <w:r w:rsidRPr="00466D35">
              <w:rPr>
                <w:i w:val="0"/>
                <w:snapToGrid w:val="0"/>
                <w:sz w:val="12"/>
                <w:szCs w:val="12"/>
              </w:rPr>
              <w:t xml:space="preserve"> </w:t>
            </w:r>
            <w:r w:rsidRPr="00466D35">
              <w:rPr>
                <w:b w:val="0"/>
                <w:i w:val="0"/>
                <w:sz w:val="12"/>
                <w:szCs w:val="12"/>
              </w:rPr>
              <w:t>определенные в</w:t>
            </w:r>
            <w:r w:rsidRPr="00466D35">
              <w:rPr>
                <w:b w:val="0"/>
                <w:sz w:val="12"/>
                <w:szCs w:val="12"/>
              </w:rPr>
              <w:t xml:space="preserve"> </w:t>
            </w:r>
            <w:r w:rsidRPr="00466D35">
              <w:rPr>
                <w:b w:val="0"/>
                <w:i w:val="0"/>
                <w:snapToGrid w:val="0"/>
                <w:color w:val="000000"/>
                <w:sz w:val="12"/>
                <w:szCs w:val="12"/>
              </w:rPr>
              <w:t>Уставе количество и номинальная стоимость акций, которые общество вправе размещать дополнительно к размещенным акциям.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Опцион на покупку (call)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опцион, дающий владельцу право купить базисный актив по зафиксированной цене у лица, его выпустившего.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Опцион на продажу (put)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опцион, дающий владельцу право </w:t>
            </w:r>
            <w:r w:rsidRPr="00466D35">
              <w:rPr>
                <w:b w:val="0"/>
                <w:i w:val="0"/>
                <w:sz w:val="12"/>
                <w:szCs w:val="12"/>
                <w:u w:val="single"/>
              </w:rPr>
              <w:t>продать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базисный актив по зафиксированной цене  лицу, его выпустившему.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Опцион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производная ценная бумага, дающая право своему владельцу продать и/или купить базисный актив по зафиксированному курсу в течение указанного в нем срока.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Организованный рынок ценных бумаг</w:t>
            </w:r>
            <w:r w:rsidRPr="00466D35">
              <w:rPr>
                <w:sz w:val="12"/>
                <w:szCs w:val="12"/>
              </w:rPr>
              <w:t xml:space="preserve"> – совокупность профессиональных участников, норм, правил, технических средств, обеспечивающих обращение фондовых ценностей по </w:t>
            </w:r>
            <w:r w:rsidRPr="00466D35">
              <w:rPr>
                <w:rFonts w:ascii="a_FuturaOrto" w:hAnsi="a_FuturaOrto"/>
                <w:snapToGrid w:val="0"/>
                <w:color w:val="000000"/>
                <w:sz w:val="12"/>
                <w:szCs w:val="12"/>
              </w:rPr>
              <w:t>правилам исполнения сделок и бухгалтерского учета, которые соответствуют требованиям, установленным Банком России</w:t>
            </w:r>
            <w:r w:rsidRPr="00466D35">
              <w:rPr>
                <w:sz w:val="12"/>
                <w:szCs w:val="12"/>
              </w:rPr>
              <w:t xml:space="preserve">. 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Переводный вексель (тратта)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письменный документ, содержащий  безусловный  приказ  векселедателя плательщику уплатить определенную сумму денег в определенный срок и в определенном месте получателю или его приказу.</w:t>
            </w:r>
          </w:p>
          <w:p w:rsidR="00AD7558" w:rsidRPr="00466D35" w:rsidRDefault="00AD7558" w:rsidP="00025BB4">
            <w:pPr>
              <w:pStyle w:val="2"/>
              <w:spacing w:after="0"/>
              <w:ind w:left="113" w:hanging="113"/>
              <w:jc w:val="both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 xml:space="preserve">Плательщик (трассат) – </w:t>
            </w:r>
            <w:r w:rsidRPr="00466D35">
              <w:rPr>
                <w:sz w:val="12"/>
                <w:szCs w:val="12"/>
              </w:rPr>
              <w:t>лицо,  которому  векселедержатель  предлагает  произвести платеж (в векселе это обозначается словами «заплатите», «платите»).</w:t>
            </w:r>
          </w:p>
        </w:tc>
        <w:tc>
          <w:tcPr>
            <w:tcW w:w="3060" w:type="dxa"/>
          </w:tcPr>
          <w:p w:rsidR="00AD7558" w:rsidRPr="00466D35" w:rsidRDefault="00AD7558" w:rsidP="00025BB4">
            <w:pPr>
              <w:pStyle w:val="2"/>
              <w:spacing w:after="0"/>
              <w:ind w:left="113" w:hanging="113"/>
              <w:jc w:val="both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Протест векселя</w:t>
            </w:r>
            <w:r w:rsidRPr="00466D35">
              <w:rPr>
                <w:sz w:val="12"/>
                <w:szCs w:val="12"/>
              </w:rPr>
              <w:t xml:space="preserve"> - официально  удостоверенное требование платежа и его неполучение.</w:t>
            </w:r>
          </w:p>
          <w:p w:rsidR="00AD7558" w:rsidRPr="00466D35" w:rsidRDefault="00AD7558" w:rsidP="00025BB4">
            <w:pPr>
              <w:pStyle w:val="a5"/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Премия</w:t>
            </w:r>
            <w:r w:rsidRPr="00466D35">
              <w:rPr>
                <w:sz w:val="12"/>
                <w:szCs w:val="12"/>
              </w:rPr>
              <w:t xml:space="preserve"> – 1. цена, уплаченная за опцион; 2. – положительная разница между ценой облигации и ее номиналом 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Простой вексель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письменный документ,  содержащий простое  и  ничем  не  обусловленное  обязательство  векселедателя (должника) уплатить определенную сумму денег в определенный срок и в  определенном месте векселедержателю или его приказу.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Реестр ценных бумаг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- ряд взаимосвязанных документов, в совокупности позволяющих подтверждать права собственности на бумагу, фиксировать состав собственников на определенную дату.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Репорт</w:t>
            </w:r>
            <w:r w:rsidRPr="00466D35">
              <w:rPr>
                <w:sz w:val="12"/>
                <w:szCs w:val="12"/>
              </w:rPr>
              <w:t xml:space="preserve"> – пролонгационная срочная сделка по продаже ценной бумаги «промежуточному» владельцу на заранее указанный в договоре срок по цене ниже цены ее обратного выкупа биржевиком в конце этого срока.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Скрытая ценность опциона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разность между текущим курсом базисного актива и его ценой исполнения по опциону.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Специализированный регистратор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профессиональный участник рынка ценных бумаг, осуществляющий деятельность по ведению реестра владельцев ценных бумаг, сбору, фиксации, обработке, хранению и предоставлению данных, составляющих систему ведения реестра владельцев ценных бумаг. </w:t>
            </w:r>
          </w:p>
          <w:p w:rsidR="00AD7558" w:rsidRPr="00466D35" w:rsidRDefault="00AD7558" w:rsidP="00025BB4">
            <w:pPr>
              <w:ind w:left="113" w:hanging="113"/>
              <w:jc w:val="both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Трансфер-агент</w:t>
            </w:r>
            <w:r w:rsidRPr="00466D35">
              <w:rPr>
                <w:sz w:val="12"/>
                <w:szCs w:val="12"/>
              </w:rPr>
              <w:t xml:space="preserve"> – профессиональный участник фондового рынка на основании договора  со специализированным регистратором выполняющий следующие  функции: выдача зарегистрированным лицам выписок из Реестра или сертификатов   ценных бумаг; передача регистратору информации о совершенных сделках  с  ценными бумагами для внесения их в Реестр; выдача гарантий подлинности подписи зарегистрированных лиц; регистрация сделок с ценными бумагами.</w:t>
            </w:r>
          </w:p>
          <w:p w:rsidR="00AD7558" w:rsidRPr="00466D35" w:rsidRDefault="00AD7558" w:rsidP="00025BB4">
            <w:pPr>
              <w:pStyle w:val="2"/>
              <w:spacing w:after="0"/>
              <w:ind w:left="113" w:hanging="113"/>
              <w:jc w:val="both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Трассант</w:t>
            </w:r>
            <w:r w:rsidRPr="00466D35">
              <w:rPr>
                <w:sz w:val="12"/>
                <w:szCs w:val="12"/>
              </w:rPr>
              <w:t xml:space="preserve"> - векселедатель переводного векселя (тратты), принимает на себя обязательства гарантии акцепта и платежа по данной бумаге.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Уставной капитал акционерного общества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сумма собственных средств равная номинальной стоимости выпущенных акций, которыми учредители наделяют общество в момент его создания. Уставной капитал определяет минимальный размер имущества общества, гарантирующего интересы его кредиторов.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Федеральная комиссия по рынку ценных бумаг (ФКЦБ)</w:t>
            </w:r>
            <w:r w:rsidRPr="00466D35">
              <w:rPr>
                <w:sz w:val="12"/>
                <w:szCs w:val="12"/>
              </w:rPr>
              <w:t xml:space="preserve"> – </w:t>
            </w:r>
            <w:r w:rsidRPr="00466D35">
              <w:rPr>
                <w:snapToGrid w:val="0"/>
                <w:color w:val="000000"/>
                <w:sz w:val="12"/>
                <w:szCs w:val="12"/>
              </w:rPr>
              <w:t>орган федеральной исполнительной власти, задачами которого являются: проведение государственной политики в области рынка ценных бумаг, контроль за деятельностью профессиональных участников рынка ценных бумаг, определение стандартов эмиссии ценных бумаг.</w:t>
            </w:r>
          </w:p>
          <w:p w:rsidR="00AD7558" w:rsidRPr="00466D35" w:rsidRDefault="00AD7558" w:rsidP="00025BB4">
            <w:pPr>
              <w:pStyle w:val="1"/>
              <w:numPr>
                <w:ilvl w:val="0"/>
                <w:numId w:val="0"/>
              </w:numPr>
              <w:tabs>
                <w:tab w:val="num" w:pos="360"/>
              </w:tabs>
              <w:ind w:left="113" w:hanging="113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Фондовая биржа</w:t>
            </w:r>
            <w:r w:rsidRPr="00466D35">
              <w:rPr>
                <w:sz w:val="12"/>
                <w:szCs w:val="12"/>
              </w:rPr>
              <w:t xml:space="preserve"> –</w:t>
            </w:r>
            <w:r w:rsidRPr="00466D35">
              <w:rPr>
                <w:rFonts w:ascii="a_FuturaOrto" w:hAnsi="a_FuturaOrto"/>
                <w:snapToGrid w:val="0"/>
                <w:color w:val="000000"/>
                <w:sz w:val="12"/>
                <w:szCs w:val="12"/>
              </w:rPr>
              <w:t>форма организации торговли ценными бумагами, которая за счет стандартизации обращающихся бумаг, заключаемых контрактов, проводимых расчетов, учета прав обеспечивает минимальные удельные затраты на проведение операций и высокую ликвидность рынка.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 xml:space="preserve">Форвардный контракт – 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обязательное для исполнения обоими контрагентами соглашение о будущей поставке предмета  контракта, условия которого определяются в момент заключения сделки. 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Фундаментальный анализ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анализ долгосрочных рыночных перспектив акций, основанный на изучении положения компании, финансовых результатов деятельности, перспектив ее роста.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Фьючерсный контракт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- соглашение об отсроченной поставке финансовых инструментов или товаров, в соответствии с которым, продавец берет на себя обязательства продать, а покупатель - купить на установленную дату в будущем определенное количество базового актива по зафиксированной в момент заключения контракта цене. 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 xml:space="preserve">Хеджирование – </w:t>
            </w:r>
            <w:r w:rsidRPr="00466D35">
              <w:rPr>
                <w:b w:val="0"/>
                <w:i w:val="0"/>
                <w:sz w:val="12"/>
                <w:szCs w:val="12"/>
              </w:rPr>
              <w:t>способ уменьшения риска будущего изменения цен за счет совершения на срочном рынке операций, обратных операциям с реальными активами.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 xml:space="preserve">Хеджер – </w:t>
            </w:r>
            <w:r w:rsidRPr="00466D35">
              <w:rPr>
                <w:b w:val="0"/>
                <w:i w:val="0"/>
                <w:sz w:val="12"/>
                <w:szCs w:val="12"/>
              </w:rPr>
              <w:t>лицо, страхующее</w:t>
            </w:r>
            <w:r w:rsidRPr="00466D35">
              <w:rPr>
                <w:i w:val="0"/>
                <w:sz w:val="12"/>
                <w:szCs w:val="12"/>
              </w:rPr>
              <w:t xml:space="preserve"> </w:t>
            </w:r>
            <w:r w:rsidRPr="00466D35">
              <w:rPr>
                <w:b w:val="0"/>
                <w:i w:val="0"/>
                <w:sz w:val="12"/>
                <w:szCs w:val="12"/>
              </w:rPr>
              <w:t>сделки с помощью покупок срочных инструментов.</w:t>
            </w:r>
          </w:p>
          <w:p w:rsidR="00AD7558" w:rsidRPr="00466D35" w:rsidRDefault="00AD7558" w:rsidP="00025BB4">
            <w:pPr>
              <w:pStyle w:val="a3"/>
              <w:ind w:hanging="113"/>
              <w:rPr>
                <w:b w:val="0"/>
                <w:i w:val="0"/>
                <w:sz w:val="12"/>
                <w:szCs w:val="12"/>
              </w:rPr>
            </w:pPr>
            <w:r w:rsidRPr="00466D35">
              <w:rPr>
                <w:i w:val="0"/>
                <w:sz w:val="12"/>
                <w:szCs w:val="12"/>
              </w:rPr>
              <w:t>Цена исполнения (страйк)</w:t>
            </w:r>
            <w:r w:rsidRPr="00466D35">
              <w:rPr>
                <w:b w:val="0"/>
                <w:i w:val="0"/>
                <w:sz w:val="12"/>
                <w:szCs w:val="12"/>
              </w:rPr>
              <w:t xml:space="preserve"> – указанный в опционе курс покупки или продажи базисного актива.</w:t>
            </w:r>
          </w:p>
          <w:p w:rsidR="00AD7558" w:rsidRPr="00466D35" w:rsidRDefault="00AD7558" w:rsidP="00025BB4">
            <w:pPr>
              <w:ind w:left="113" w:hanging="113"/>
              <w:jc w:val="both"/>
              <w:rPr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>Ценная  бумага</w:t>
            </w:r>
            <w:r w:rsidRPr="00466D35">
              <w:rPr>
                <w:sz w:val="12"/>
                <w:szCs w:val="12"/>
              </w:rPr>
              <w:t xml:space="preserve"> – надлежащим образом оформленный денежный документ или запись,  удостоверяющие имущественное право или отношение займа владельца ценной бумаги по отношению к лицу, ее выпустившему.</w:t>
            </w:r>
          </w:p>
          <w:p w:rsidR="00AD7558" w:rsidRPr="00466D35" w:rsidRDefault="00AD7558" w:rsidP="00025BB4">
            <w:pPr>
              <w:ind w:left="113" w:hanging="113"/>
              <w:jc w:val="both"/>
              <w:rPr>
                <w:i/>
                <w:sz w:val="12"/>
                <w:szCs w:val="12"/>
              </w:rPr>
            </w:pPr>
            <w:r w:rsidRPr="00466D35">
              <w:rPr>
                <w:b/>
                <w:sz w:val="12"/>
                <w:szCs w:val="12"/>
              </w:rPr>
              <w:t xml:space="preserve">Эмиссионная ценная бумага – </w:t>
            </w:r>
            <w:r w:rsidRPr="00466D35">
              <w:rPr>
                <w:sz w:val="12"/>
                <w:szCs w:val="12"/>
              </w:rPr>
              <w:t>ценная бумага, которая характеризуется одновременно следующими признаками: закрепляет совокупность имущественных и неимущественных прав, подлежащих удостоверению, уступке и безусловному осуществлению с соблюдением установленных законом  "О рынке ценных бумаг" формы и порядка; размещается выпусками; имеет равные объем и сроки осуществления прав внутри одного выпуска вне зависимости от времени приобретения ценной бумаги.</w:t>
            </w:r>
          </w:p>
        </w:tc>
      </w:tr>
    </w:tbl>
    <w:p w:rsidR="00AD7558" w:rsidRPr="00CE41B9" w:rsidRDefault="00AD7558">
      <w:pPr>
        <w:rPr>
          <w:lang w:val="en-US"/>
        </w:rPr>
      </w:pPr>
      <w:bookmarkStart w:id="0" w:name="_GoBack"/>
      <w:bookmarkEnd w:id="0"/>
    </w:p>
    <w:sectPr w:rsidR="00AD7558" w:rsidRPr="00CE41B9" w:rsidSect="00BC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FuturaOrt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26AF1"/>
    <w:multiLevelType w:val="singleLevel"/>
    <w:tmpl w:val="74820FFC"/>
    <w:lvl w:ilvl="0">
      <w:start w:val="1"/>
      <w:numFmt w:val="bullet"/>
      <w:pStyle w:val="1"/>
      <w:lvlText w:val="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1B9"/>
    <w:rsid w:val="00025BB4"/>
    <w:rsid w:val="001061E7"/>
    <w:rsid w:val="001E07D7"/>
    <w:rsid w:val="00466D35"/>
    <w:rsid w:val="00606E0B"/>
    <w:rsid w:val="0065054B"/>
    <w:rsid w:val="00723030"/>
    <w:rsid w:val="00741BD9"/>
    <w:rsid w:val="0075110C"/>
    <w:rsid w:val="007B2676"/>
    <w:rsid w:val="00AD7558"/>
    <w:rsid w:val="00BC03E6"/>
    <w:rsid w:val="00CE41B9"/>
    <w:rsid w:val="00E13815"/>
    <w:rsid w:val="00E6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C1ECE-5E06-4DEA-ACDE-879C2D9A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List Continue 2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41B9"/>
    <w:pPr>
      <w:ind w:left="113" w:firstLine="720"/>
      <w:jc w:val="both"/>
    </w:pPr>
    <w:rPr>
      <w:b/>
      <w:i/>
      <w:sz w:val="28"/>
    </w:rPr>
  </w:style>
  <w:style w:type="character" w:customStyle="1" w:styleId="a4">
    <w:name w:val="Основной текст с отступом Знак"/>
    <w:basedOn w:val="a0"/>
    <w:link w:val="a3"/>
    <w:locked/>
    <w:rsid w:val="00CE41B9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1">
    <w:name w:val="Маркированный стиль 1"/>
    <w:basedOn w:val="a"/>
    <w:rsid w:val="00CE41B9"/>
    <w:pPr>
      <w:numPr>
        <w:numId w:val="1"/>
      </w:numPr>
      <w:tabs>
        <w:tab w:val="left" w:leader="dot" w:pos="284"/>
      </w:tabs>
      <w:jc w:val="both"/>
    </w:pPr>
    <w:rPr>
      <w:sz w:val="28"/>
    </w:rPr>
  </w:style>
  <w:style w:type="paragraph" w:styleId="a5">
    <w:name w:val="Body Text"/>
    <w:basedOn w:val="a"/>
    <w:link w:val="a6"/>
    <w:rsid w:val="00CE41B9"/>
    <w:pPr>
      <w:ind w:firstLine="720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CE41B9"/>
    <w:rPr>
      <w:rFonts w:ascii="Times New Roman" w:hAnsi="Times New Roman" w:cs="Times New Roman"/>
      <w:sz w:val="20"/>
      <w:szCs w:val="20"/>
      <w:lang w:val="x-none" w:eastAsia="ru-RU"/>
    </w:rPr>
  </w:style>
  <w:style w:type="paragraph" w:styleId="2">
    <w:name w:val="List Continue 2"/>
    <w:basedOn w:val="a"/>
    <w:rsid w:val="00CE41B9"/>
    <w:pPr>
      <w:spacing w:after="120"/>
      <w:ind w:left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Аваль – вексельное поручительство</vt:lpstr>
    </vt:vector>
  </TitlesOfParts>
  <Company>M&amp;P</Company>
  <LinksUpToDate>false</LinksUpToDate>
  <CharactersWithSpaces>11340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Аваль – вексельное поручительство</dc:title>
  <dc:subject/>
  <dc:creator>VIENNA XP</dc:creator>
  <cp:keywords/>
  <dc:description/>
  <cp:lastModifiedBy>admin</cp:lastModifiedBy>
  <cp:revision>2</cp:revision>
  <dcterms:created xsi:type="dcterms:W3CDTF">2014-05-29T00:54:00Z</dcterms:created>
  <dcterms:modified xsi:type="dcterms:W3CDTF">2014-05-29T00:54:00Z</dcterms:modified>
</cp:coreProperties>
</file>