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2B59">
        <w:rPr>
          <w:rFonts w:ascii="Times New Roman" w:hAnsi="Times New Roman"/>
          <w:b/>
          <w:bCs/>
          <w:sz w:val="28"/>
          <w:szCs w:val="28"/>
        </w:rPr>
        <w:t>Абсорбционные оптические методы. Атомно-абсорбционный анализ.</w:t>
      </w:r>
      <w:r w:rsidR="00FC0477" w:rsidRPr="00E52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2B59">
        <w:rPr>
          <w:rFonts w:ascii="Times New Roman" w:hAnsi="Times New Roman"/>
          <w:b/>
          <w:bCs/>
          <w:sz w:val="28"/>
          <w:szCs w:val="28"/>
        </w:rPr>
        <w:t>Молекулярно-абсорбционный анализ. Фотометрия (колориметрия, фотоколориметрия, спектрофотометрия)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Методы анализа, основанные на поглощении электромагнитного излучения анализируемыми веществами, представляют обширную группу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абсорбционных</w:t>
      </w:r>
      <w:r w:rsidRPr="00E52B59">
        <w:rPr>
          <w:rFonts w:ascii="Times New Roman" w:hAnsi="Times New Roman"/>
          <w:sz w:val="28"/>
          <w:szCs w:val="28"/>
        </w:rPr>
        <w:t xml:space="preserve"> оптических методов, получивших широкое распространение как на промышленных предприятиях, так и в научно-исследовательских лабораториях. При поглощении света атомы и молекулы поглощающих веществ переходят в новое возбужденное состояние. В зависимости от вида поглощающих частиц и способа трансформирования поглощенной энергии различают</w:t>
      </w:r>
    </w:p>
    <w:p w:rsidR="00306626" w:rsidRPr="00E52B59" w:rsidRDefault="00306626" w:rsidP="00FC04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Атомно-абсорбционный анализ</w:t>
      </w:r>
      <w:r w:rsidRPr="00E52B59">
        <w:rPr>
          <w:rFonts w:ascii="Times New Roman" w:hAnsi="Times New Roman"/>
          <w:sz w:val="28"/>
          <w:szCs w:val="28"/>
        </w:rPr>
        <w:t>, основанный на поглощении световой энергии атомами анализируемых веществ;</w:t>
      </w:r>
    </w:p>
    <w:p w:rsidR="00306626" w:rsidRPr="00E52B59" w:rsidRDefault="00306626" w:rsidP="00FC047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i/>
          <w:iCs/>
          <w:caps/>
          <w:sz w:val="28"/>
          <w:szCs w:val="28"/>
        </w:rPr>
        <w:t>м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олекулярно-абсорбционный анализ</w:t>
      </w:r>
      <w:r w:rsidRPr="00E52B59">
        <w:rPr>
          <w:rFonts w:ascii="Times New Roman" w:hAnsi="Times New Roman"/>
          <w:sz w:val="28"/>
          <w:szCs w:val="28"/>
        </w:rPr>
        <w:t>, основанный на поглощении света молекулами анализируемого вещества и сложными ионами в УФ, видимой и ИК областях спектра (колориметрия, спектрофотометрия, фотоколориметрия, ИК-спектроскопия).</w:t>
      </w:r>
    </w:p>
    <w:p w:rsidR="00306626" w:rsidRPr="00E52B59" w:rsidRDefault="00306626" w:rsidP="00FC047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Турбидиметрия</w:t>
      </w:r>
      <w:r w:rsidRPr="00E52B59">
        <w:rPr>
          <w:rFonts w:ascii="Times New Roman" w:hAnsi="Times New Roman"/>
          <w:sz w:val="28"/>
          <w:szCs w:val="28"/>
        </w:rPr>
        <w:t>,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нефелометрия</w:t>
      </w:r>
      <w:r w:rsidRPr="00E52B59">
        <w:rPr>
          <w:rFonts w:ascii="Times New Roman" w:hAnsi="Times New Roman"/>
          <w:sz w:val="28"/>
          <w:szCs w:val="28"/>
        </w:rPr>
        <w:t xml:space="preserve"> - анализ по поглощению и рассеянию световой энергии взвесями анализируемого вещества.</w:t>
      </w:r>
    </w:p>
    <w:p w:rsidR="00306626" w:rsidRPr="00E52B59" w:rsidRDefault="00306626" w:rsidP="00FC047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Люминесцентный</w:t>
      </w:r>
      <w:r w:rsidRPr="00E52B59">
        <w:rPr>
          <w:rFonts w:ascii="Times New Roman" w:hAnsi="Times New Roman"/>
          <w:sz w:val="28"/>
          <w:szCs w:val="28"/>
        </w:rPr>
        <w:t xml:space="preserve"> (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флюорометрический</w:t>
      </w:r>
      <w:r w:rsidRPr="00E52B59">
        <w:rPr>
          <w:rFonts w:ascii="Times New Roman" w:hAnsi="Times New Roman"/>
          <w:sz w:val="28"/>
          <w:szCs w:val="28"/>
        </w:rPr>
        <w:t>) анализ, основанный на измерении излучения, возникающего в результате выделения энергии возбужденными молекулами анализируемого вещества при облучении У</w:t>
      </w:r>
      <w:r w:rsidRPr="00E52B59">
        <w:rPr>
          <w:rFonts w:ascii="Times New Roman" w:hAnsi="Times New Roman"/>
          <w:caps/>
          <w:sz w:val="28"/>
          <w:szCs w:val="28"/>
        </w:rPr>
        <w:t>ф</w:t>
      </w:r>
      <w:r w:rsidRPr="00E52B59">
        <w:rPr>
          <w:rFonts w:ascii="Times New Roman" w:hAnsi="Times New Roman"/>
          <w:sz w:val="28"/>
          <w:szCs w:val="28"/>
        </w:rPr>
        <w:t xml:space="preserve"> лучами.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Несмотря на различия, все эти методы иногда объединяют в группу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спектрохимических</w:t>
      </w:r>
      <w:r w:rsidRPr="00E52B59">
        <w:rPr>
          <w:rFonts w:ascii="Times New Roman" w:hAnsi="Times New Roman"/>
          <w:sz w:val="28"/>
          <w:szCs w:val="28"/>
        </w:rPr>
        <w:t xml:space="preserve"> или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спектроскопических</w:t>
      </w:r>
      <w:r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sz w:val="28"/>
          <w:szCs w:val="28"/>
        </w:rPr>
        <w:t>Атомно-абсорбционный анализ (ААА)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ААА основан на способности свободных атомов определяемого элемента селективно поглощать теоретическое резонансное излучение определенной для каждого элемента длины волны. Для этого анализируемую пробу переводят в раствор обычным способом. Для наблюдения поглощения раствор вдувают в виде аэрозоля в пламя горелки, в котором происходит термическая диссоциация и атомизация молекул: МеХ</w:t>
      </w:r>
      <w:r w:rsidR="0026070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2pt">
            <v:imagedata r:id="rId5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Ме+Х.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Большинство образующихся при этом атомов находится в нормальном невозбужденном состоянии. Они способны поглощать собственное излучение, проходящее через пламя горелки от внешнего стандартного источника излучения, например, лампы с полым катодом, изготовленным из металла определяемого элемента. В результате этого внешний (оптический) электрон атома переходит на более высокий энергетический уровень, а пропускаемое через пламя излучение ослабляется.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Для определения состава различных веществ по атомным спектрам поглощения созданы специальные приборы - атомно-абсорбционные спектрофотометры, работающие по двух- или однолучевой схеме. В двухлучевом приборе излучение лампы с полым катодом зеркалами разделяется на два луча. Один луч проходит через пламя горелки, в которое распыляется анализируемый раствор, а другой луч обходит это пламя. При помощи прерывателя, вращающегося перед световыми потоками диска с отверстием, световые потоки 1 и 2 поочередно попадают на монохроматор, пропускающий на фотоэлектрический приемник света (фотоумножитель) только аналитическую линию анализируемого элемента. Фотоумножитель и электронная схема попеременно регистрируют аналитическую линию потоков 1 и 2. Прибор измеряет отношение </w:t>
      </w:r>
      <w:r w:rsidR="00260704">
        <w:rPr>
          <w:rFonts w:ascii="Times New Roman" w:hAnsi="Times New Roman"/>
          <w:sz w:val="28"/>
          <w:szCs w:val="28"/>
        </w:rPr>
        <w:pict>
          <v:shape id="_x0000_i1026" type="#_x0000_t75" style="width:12.75pt;height:27pt">
            <v:imagedata r:id="rId6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 или непосредственно </w:t>
      </w:r>
      <w:r w:rsidR="00260704">
        <w:rPr>
          <w:rFonts w:ascii="Times New Roman" w:hAnsi="Times New Roman"/>
          <w:sz w:val="28"/>
          <w:szCs w:val="28"/>
        </w:rPr>
        <w:pict>
          <v:shape id="_x0000_i1027" type="#_x0000_t75" style="width:40.5pt;height:27.75pt">
            <v:imagedata r:id="rId7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, которое при выбранной схеме измерения зависит только от концентрации элемента в анализируемом растворе.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Однолучевой прибор измеряет усредненное отношение световых потоков прошедших через пламя до (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E52B59">
        <w:rPr>
          <w:rFonts w:ascii="Times New Roman" w:hAnsi="Times New Roman"/>
          <w:sz w:val="28"/>
          <w:szCs w:val="28"/>
          <w:vertAlign w:val="subscript"/>
        </w:rPr>
        <w:t>0</w:t>
      </w:r>
      <w:r w:rsidRPr="00E52B59">
        <w:rPr>
          <w:rFonts w:ascii="Times New Roman" w:hAnsi="Times New Roman"/>
          <w:sz w:val="28"/>
          <w:szCs w:val="28"/>
        </w:rPr>
        <w:t>) и после (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E52B59">
        <w:rPr>
          <w:rFonts w:ascii="Times New Roman" w:hAnsi="Times New Roman"/>
          <w:sz w:val="28"/>
          <w:szCs w:val="28"/>
        </w:rPr>
        <w:t xml:space="preserve">) поглощения, т.е. после введения в пламя анализируемого раствора. </w:t>
      </w:r>
      <w:r w:rsidRPr="00E52B59">
        <w:rPr>
          <w:rFonts w:ascii="Times New Roman" w:hAnsi="Times New Roman"/>
          <w:caps/>
          <w:sz w:val="28"/>
          <w:szCs w:val="28"/>
        </w:rPr>
        <w:t>т</w:t>
      </w:r>
      <w:r w:rsidRPr="00E52B59">
        <w:rPr>
          <w:rFonts w:ascii="Times New Roman" w:hAnsi="Times New Roman"/>
          <w:sz w:val="28"/>
          <w:szCs w:val="28"/>
        </w:rPr>
        <w:t>очность определения однолучевым прибором меньше, чем двухлучевым.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Искомую концентрацию элемента определяют по методу градуировочного графика.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В настоящее время в заводских лабораториях широко применяются абсорбционные спектрофотометры, среди которых зарубежные приборы ААС-1 (Германия), "Сатурн"(США) и др.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Данный метод характеризуется быстротой и простотой выполнения, доступностью и несложностью применяемой аппаратуры. Чувствительность для большинства элементов достигает 5 </w:t>
      </w:r>
      <w:r w:rsidRPr="00E52B59">
        <w:rPr>
          <w:rFonts w:ascii="Times New Roman" w:hAnsi="Times New Roman"/>
          <w:sz w:val="28"/>
          <w:szCs w:val="28"/>
        </w:rPr>
        <w:t>10</w:t>
      </w:r>
      <w:r w:rsidRPr="00E52B59">
        <w:rPr>
          <w:rFonts w:ascii="Times New Roman" w:hAnsi="Times New Roman"/>
          <w:sz w:val="28"/>
          <w:szCs w:val="28"/>
          <w:vertAlign w:val="superscript"/>
        </w:rPr>
        <w:t>-7</w:t>
      </w:r>
      <w:r w:rsidRPr="00E52B59">
        <w:rPr>
          <w:rFonts w:ascii="Times New Roman" w:hAnsi="Times New Roman"/>
          <w:sz w:val="28"/>
          <w:szCs w:val="28"/>
        </w:rPr>
        <w:t xml:space="preserve"> %, при этом расходуется от 0,1 до нескольких миллилитров анализируемого раствора. Относительная погрешность метода 1-4 %.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ab/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caps/>
          <w:sz w:val="28"/>
          <w:szCs w:val="28"/>
        </w:rPr>
        <w:t>м</w:t>
      </w:r>
      <w:r w:rsidRPr="00E52B59">
        <w:rPr>
          <w:rFonts w:ascii="Times New Roman" w:hAnsi="Times New Roman"/>
          <w:b/>
          <w:bCs/>
          <w:sz w:val="28"/>
          <w:szCs w:val="28"/>
        </w:rPr>
        <w:t>олекулярно-абсорбционный анализ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ab/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Молекулярные спектры поглощения, в отличие от спектров атомов, состоят из более широких полос, так как представляют сумму различного типа переходов (ЭКВ), которые могут осуществляться в результате перехода молекулы из основного состояния в возбужденное. Это затрудняет проведение качественного анализа на основании молекулярных спектров поглощения, поэтому их обычно используют для количественного анализа.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Наиболее широко из методов молекулярно-абсорбционного анализа применяют колориметрию, фотоколориметрию и спектрофотометрию, объединяемые общим названием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фотометрия</w:t>
      </w:r>
      <w:r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Фотометрия основана на пропорциональной зависимости между концентрацией однородных систем (например, растворов) и их светопоглощением в видимой и УФ областях спектра. Различия в фотометрических методах видны из табл. 2.5.1.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Фотометрические методы подразделяют на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прямые</w:t>
      </w:r>
      <w:r w:rsidRPr="00E52B59">
        <w:rPr>
          <w:rFonts w:ascii="Times New Roman" w:hAnsi="Times New Roman"/>
          <w:sz w:val="28"/>
          <w:szCs w:val="28"/>
        </w:rPr>
        <w:t xml:space="preserve"> и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косвенные </w:t>
      </w:r>
      <w:r w:rsidRPr="00E52B59">
        <w:rPr>
          <w:rFonts w:ascii="Times New Roman" w:hAnsi="Times New Roman"/>
          <w:sz w:val="28"/>
          <w:szCs w:val="28"/>
        </w:rPr>
        <w:t>(фотометрическое титрование). В прямых определяемый ион переводят в светопоглощающее (как правило, комплексное) соединение, а затем по измеренной величине светопоглощения находят содержание иона в растворе. Как косвенный метод фотометрию используют для индикации момента эквивалентности при титровании, когда в этот момент титруемый раствор меняет светопоглощение за счет разрушения или образования цветных комплексов.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2B59">
        <w:rPr>
          <w:rFonts w:ascii="Times New Roman" w:hAnsi="Times New Roman"/>
          <w:i/>
          <w:iCs/>
          <w:sz w:val="28"/>
          <w:szCs w:val="28"/>
        </w:rPr>
        <w:t>Таблица 2.5.1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2410"/>
        <w:gridCol w:w="1984"/>
      </w:tblGrid>
      <w:tr w:rsidR="00306626" w:rsidRPr="00E52B59" w:rsidTr="0030662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Область спектра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Монохроматор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Способ регистрации светопоглощения</w:t>
            </w:r>
          </w:p>
        </w:tc>
      </w:tr>
      <w:tr w:rsidR="00306626" w:rsidRPr="00E52B59" w:rsidTr="0030662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Колори- метрия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Видимая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Без монохроматора или с ним (т.е. со светофильтром)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Визуальный</w:t>
            </w:r>
          </w:p>
        </w:tc>
      </w:tr>
      <w:tr w:rsidR="00306626" w:rsidRPr="00E52B59" w:rsidTr="00306626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Фотоколо-риметрия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Видимая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Светофильтры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Фотоэлектрический</w:t>
            </w:r>
          </w:p>
        </w:tc>
      </w:tr>
      <w:tr w:rsidR="00306626" w:rsidRPr="00E52B59" w:rsidTr="00306626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Спектро-фотометрия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Видимая, УФ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>Дифракционная решетка, призма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06626" w:rsidRPr="00E52B59" w:rsidRDefault="00306626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59">
              <w:rPr>
                <w:rFonts w:ascii="Times New Roman" w:hAnsi="Times New Roman"/>
                <w:sz w:val="20"/>
                <w:szCs w:val="20"/>
              </w:rPr>
              <w:t xml:space="preserve">То же </w:t>
            </w:r>
          </w:p>
        </w:tc>
      </w:tr>
    </w:tbl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Из ФХМА фотометрические методы наиболее распространены вследствие сравнительной простоты оборудования, высокой чувствительности и возможности использования для определения почти всех элементов как при больших концентрациях (20-30 %), так и микроколичеств (10</w:t>
      </w:r>
      <w:r w:rsidRPr="00E52B59">
        <w:rPr>
          <w:rFonts w:ascii="Times New Roman" w:hAnsi="Times New Roman"/>
          <w:sz w:val="28"/>
          <w:szCs w:val="28"/>
          <w:vertAlign w:val="superscript"/>
        </w:rPr>
        <w:t xml:space="preserve">-3 </w:t>
      </w:r>
      <w:r w:rsidRPr="00E52B59">
        <w:rPr>
          <w:rFonts w:ascii="Times New Roman" w:hAnsi="Times New Roman"/>
          <w:sz w:val="28"/>
          <w:szCs w:val="28"/>
        </w:rPr>
        <w:t>–10</w:t>
      </w:r>
      <w:r w:rsidRPr="00E52B59">
        <w:rPr>
          <w:rFonts w:ascii="Times New Roman" w:hAnsi="Times New Roman"/>
          <w:sz w:val="28"/>
          <w:szCs w:val="28"/>
          <w:vertAlign w:val="superscript"/>
        </w:rPr>
        <w:t>-4</w:t>
      </w:r>
      <w:r w:rsidRPr="00E52B59">
        <w:rPr>
          <w:rFonts w:ascii="Times New Roman" w:hAnsi="Times New Roman"/>
          <w:sz w:val="28"/>
          <w:szCs w:val="28"/>
        </w:rPr>
        <w:t xml:space="preserve"> %).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Общая схема фотометрических исследований такова: немонохроматизированное или монохроматизированное (т.е. с одной длиной волны) излучение направляют на пробу, помещенную в кювету (т.е. стаканчик из кварцевого стекла с параллельными стенками и строго определенным расстоянием между ними (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l</w:t>
      </w:r>
      <w:r w:rsidRPr="00E52B59">
        <w:rPr>
          <w:rFonts w:ascii="Times New Roman" w:hAnsi="Times New Roman"/>
          <w:sz w:val="28"/>
          <w:szCs w:val="28"/>
        </w:rPr>
        <w:t xml:space="preserve">)) определенной толщины, в которой происходит поглощение падающего света. 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Интенсивность света, прошедшего через окрашенный раствор(1), отличается от интенсивности света, прошедшего через растворитель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I</w:t>
      </w:r>
      <w:r w:rsidRPr="00E52B59">
        <w:rPr>
          <w:rFonts w:ascii="Times New Roman" w:hAnsi="Times New Roman"/>
          <w:sz w:val="28"/>
          <w:szCs w:val="28"/>
          <w:vertAlign w:val="subscript"/>
        </w:rPr>
        <w:t>0</w:t>
      </w:r>
      <w:r w:rsidRPr="00E52B59">
        <w:rPr>
          <w:rFonts w:ascii="Times New Roman" w:hAnsi="Times New Roman"/>
          <w:sz w:val="28"/>
          <w:szCs w:val="28"/>
        </w:rPr>
        <w:t xml:space="preserve"> на величину поглощения света окрашенным раствором (рис. 2.5.1). Потери при отражении и рассеянии будут практически одни и те же при прохождении обоих пучков, так как форма и материал обеих кювет одинаковы, и они содержат один и тот же растворитель. Величину </w:t>
      </w:r>
      <w:r w:rsidR="00260704">
        <w:rPr>
          <w:rFonts w:ascii="Times New Roman" w:hAnsi="Times New Roman"/>
          <w:sz w:val="28"/>
          <w:szCs w:val="28"/>
        </w:rPr>
        <w:pict>
          <v:shape id="_x0000_i1028" type="#_x0000_t75" style="width:9pt;height:17.25pt">
            <v:imagedata r:id="rId8" o:title=""/>
          </v:shape>
        </w:pict>
      </w:r>
      <w:r w:rsidR="00260704">
        <w:rPr>
          <w:rFonts w:ascii="Times New Roman" w:hAnsi="Times New Roman"/>
          <w:sz w:val="28"/>
          <w:szCs w:val="28"/>
        </w:rPr>
        <w:pict>
          <v:shape id="_x0000_i1029" type="#_x0000_t75" style="width:29.25pt;height:27pt">
            <v:imagedata r:id="rId9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 называют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пропусканием</w:t>
      </w:r>
      <w:r w:rsidRPr="00E52B59">
        <w:rPr>
          <w:rFonts w:ascii="Times New Roman" w:hAnsi="Times New Roman"/>
          <w:sz w:val="28"/>
          <w:szCs w:val="28"/>
        </w:rPr>
        <w:t xml:space="preserve"> (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коэффициентом пропускания</w:t>
      </w:r>
      <w:r w:rsidRPr="00E52B59">
        <w:rPr>
          <w:rFonts w:ascii="Times New Roman" w:hAnsi="Times New Roman"/>
          <w:sz w:val="28"/>
          <w:szCs w:val="28"/>
        </w:rPr>
        <w:t xml:space="preserve">) или прозрачностью раствора. Взятый с обратным знаком логарифм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E52B59">
        <w:rPr>
          <w:rFonts w:ascii="Times New Roman" w:hAnsi="Times New Roman"/>
          <w:sz w:val="28"/>
          <w:szCs w:val="28"/>
        </w:rPr>
        <w:t xml:space="preserve"> называют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 xml:space="preserve">светопоглощением, поглощением </w:t>
      </w:r>
      <w:r w:rsidRPr="00E52B59">
        <w:rPr>
          <w:rFonts w:ascii="Times New Roman" w:hAnsi="Times New Roman"/>
          <w:sz w:val="28"/>
          <w:szCs w:val="28"/>
        </w:rPr>
        <w:t xml:space="preserve">или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абсорбционностью</w:t>
      </w:r>
      <w:r w:rsidRPr="00E52B59">
        <w:rPr>
          <w:rFonts w:ascii="Times New Roman" w:hAnsi="Times New Roman"/>
          <w:sz w:val="28"/>
          <w:szCs w:val="28"/>
        </w:rPr>
        <w:t xml:space="preserve"> (</w:t>
      </w:r>
      <w:r w:rsidRPr="00E52B59">
        <w:rPr>
          <w:rFonts w:ascii="Times New Roman" w:hAnsi="Times New Roman"/>
          <w:i/>
          <w:iCs/>
          <w:sz w:val="28"/>
          <w:szCs w:val="28"/>
        </w:rPr>
        <w:t>А</w:t>
      </w:r>
      <w:r w:rsidRPr="00E52B59">
        <w:rPr>
          <w:rFonts w:ascii="Times New Roman" w:hAnsi="Times New Roman"/>
          <w:sz w:val="28"/>
          <w:szCs w:val="28"/>
        </w:rPr>
        <w:t>).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Обозначение </w:t>
      </w:r>
      <w:r w:rsidRPr="00E52B59">
        <w:rPr>
          <w:rFonts w:ascii="Times New Roman" w:hAnsi="Times New Roman"/>
          <w:i/>
          <w:iCs/>
          <w:sz w:val="28"/>
          <w:szCs w:val="28"/>
        </w:rPr>
        <w:t>А</w:t>
      </w:r>
      <w:r w:rsidRPr="00E52B59">
        <w:rPr>
          <w:rFonts w:ascii="Times New Roman" w:hAnsi="Times New Roman"/>
          <w:sz w:val="28"/>
          <w:szCs w:val="28"/>
        </w:rPr>
        <w:t xml:space="preserve"> соответствует первой букве в названии этой величины (ранее которую называли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оптической плотностью</w:t>
      </w:r>
      <w:r w:rsidRPr="00E52B59">
        <w:rPr>
          <w:rFonts w:ascii="Times New Roman" w:hAnsi="Times New Roman"/>
          <w:sz w:val="28"/>
          <w:szCs w:val="28"/>
        </w:rPr>
        <w:t xml:space="preserve"> и обозначали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D</w:t>
      </w:r>
      <w:r w:rsidRPr="00E52B59">
        <w:rPr>
          <w:rFonts w:ascii="Times New Roman" w:hAnsi="Times New Roman"/>
          <w:sz w:val="28"/>
          <w:szCs w:val="28"/>
        </w:rPr>
        <w:t>).</w:t>
      </w:r>
    </w:p>
    <w:p w:rsidR="00306626" w:rsidRPr="00E52B59" w:rsidRDefault="00260704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0" type="#_x0000_t75" style="width:113.25pt;height:30.75pt">
            <v:imagedata r:id="rId10" o:title=""/>
          </v:shape>
        </w:pict>
      </w:r>
      <w:r w:rsidR="00306626"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Уменьшение интенсивности света при прохождении через окрашенный раствор подчиняется закону Бугера-Ламберта-Бера: 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626" w:rsidRPr="00E52B59" w:rsidRDefault="00260704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68.25pt;height:18.75pt">
            <v:imagedata r:id="rId11" o:title=""/>
          </v:shape>
        </w:pict>
      </w:r>
      <w:r w:rsidR="00306626" w:rsidRPr="00E52B59">
        <w:rPr>
          <w:rFonts w:ascii="Times New Roman" w:hAnsi="Times New Roman"/>
          <w:sz w:val="28"/>
          <w:szCs w:val="28"/>
        </w:rPr>
        <w:t>;</w:t>
      </w:r>
    </w:p>
    <w:p w:rsidR="00306626" w:rsidRPr="00E52B59" w:rsidRDefault="00260704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57.75pt;height:33.75pt">
            <v:imagedata r:id="rId12" o:title=""/>
          </v:shape>
        </w:pict>
      </w:r>
      <w:r w:rsidR="00306626" w:rsidRPr="00E52B59">
        <w:rPr>
          <w:rFonts w:ascii="Times New Roman" w:hAnsi="Times New Roman"/>
          <w:sz w:val="28"/>
          <w:szCs w:val="28"/>
        </w:rPr>
        <w:t>;</w:t>
      </w:r>
    </w:p>
    <w:p w:rsidR="00306626" w:rsidRPr="00E52B59" w:rsidRDefault="00260704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59.25pt;height:18pt">
            <v:imagedata r:id="rId13" o:title=""/>
          </v:shape>
        </w:pict>
      </w:r>
      <w:r w:rsidR="00306626"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Связь интенсивности светопоглощения (</w:t>
      </w:r>
      <w:r w:rsidR="00260704">
        <w:rPr>
          <w:rFonts w:ascii="Times New Roman" w:hAnsi="Times New Roman"/>
          <w:sz w:val="28"/>
          <w:szCs w:val="28"/>
        </w:rPr>
        <w:pict>
          <v:shape id="_x0000_i1034" type="#_x0000_t75" style="width:12pt;height:12pt">
            <v:imagedata r:id="rId14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) с концентрацией (</w:t>
      </w:r>
      <w:r w:rsidR="00260704">
        <w:rPr>
          <w:rFonts w:ascii="Times New Roman" w:hAnsi="Times New Roman"/>
          <w:sz w:val="28"/>
          <w:szCs w:val="28"/>
        </w:rPr>
        <w:pict>
          <v:shape id="_x0000_i1035" type="#_x0000_t75" style="width:9.75pt;height:11.25pt">
            <v:imagedata r:id="rId15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) определяемого компонента называют также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основным законом фотометрии.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Молярный коэффициент поглощения</w:t>
      </w:r>
      <w:r w:rsidR="00CA1EDA">
        <w:rPr>
          <w:rFonts w:ascii="Times New Roman" w:hAnsi="Times New Roman"/>
          <w:sz w:val="28"/>
          <w:szCs w:val="28"/>
        </w:rPr>
        <w:t xml:space="preserve"> </w:t>
      </w:r>
      <w:r w:rsidRPr="00E52B59">
        <w:rPr>
          <w:rFonts w:ascii="Times New Roman" w:hAnsi="Times New Roman"/>
          <w:sz w:val="28"/>
          <w:szCs w:val="28"/>
        </w:rPr>
        <w:t xml:space="preserve">- светопоглощение при </w:t>
      </w:r>
      <w:r w:rsidRPr="00E52B59">
        <w:rPr>
          <w:rFonts w:ascii="Times New Roman" w:hAnsi="Times New Roman"/>
          <w:i/>
          <w:iCs/>
          <w:sz w:val="28"/>
          <w:szCs w:val="28"/>
        </w:rPr>
        <w:t>с</w:t>
      </w:r>
      <w:r w:rsidRPr="00E52B59">
        <w:rPr>
          <w:rFonts w:ascii="Times New Roman" w:hAnsi="Times New Roman"/>
          <w:sz w:val="28"/>
          <w:szCs w:val="28"/>
        </w:rPr>
        <w:t xml:space="preserve">=1 моль/л и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l</w:t>
      </w:r>
      <w:r w:rsidRPr="00E52B59">
        <w:rPr>
          <w:rFonts w:ascii="Times New Roman" w:hAnsi="Times New Roman"/>
          <w:sz w:val="28"/>
          <w:szCs w:val="28"/>
        </w:rPr>
        <w:t>=1 см</w:t>
      </w:r>
      <w:r w:rsidRPr="00E52B5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A1EDA">
        <w:rPr>
          <w:rFonts w:ascii="Times New Roman" w:hAnsi="Times New Roman"/>
          <w:sz w:val="28"/>
          <w:szCs w:val="28"/>
        </w:rPr>
        <w:t>зависит от</w:t>
      </w:r>
      <w:r w:rsidRPr="00E52B59">
        <w:rPr>
          <w:rFonts w:ascii="Times New Roman" w:hAnsi="Times New Roman"/>
          <w:sz w:val="28"/>
          <w:szCs w:val="28"/>
        </w:rPr>
        <w:t xml:space="preserve"> падающего света, природы растворенного вещества, температуры раствора и не зависит от объема раствора, толщины поглощающего слоя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l</w:t>
      </w:r>
      <w:r w:rsidRPr="00E52B59">
        <w:rPr>
          <w:rFonts w:ascii="Times New Roman" w:hAnsi="Times New Roman"/>
          <w:sz w:val="28"/>
          <w:szCs w:val="28"/>
        </w:rPr>
        <w:t xml:space="preserve">, концентрации вещества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E52B59">
        <w:rPr>
          <w:rFonts w:ascii="Times New Roman" w:hAnsi="Times New Roman"/>
          <w:sz w:val="28"/>
          <w:szCs w:val="28"/>
        </w:rPr>
        <w:t xml:space="preserve"> и интенсивности освещения. Поэтому является мерой поглощательной способности вещества при данной длине волны и характеристикой чувствительности фотоме</w:t>
      </w:r>
      <w:r w:rsidR="00CA1EDA">
        <w:rPr>
          <w:rFonts w:ascii="Times New Roman" w:hAnsi="Times New Roman"/>
          <w:sz w:val="28"/>
          <w:szCs w:val="28"/>
        </w:rPr>
        <w:t>трического анализа - чем больше</w:t>
      </w:r>
      <w:r w:rsidRPr="00E52B59">
        <w:rPr>
          <w:rFonts w:ascii="Times New Roman" w:hAnsi="Times New Roman"/>
          <w:sz w:val="28"/>
          <w:szCs w:val="28"/>
        </w:rPr>
        <w:t>, тем больше чувствительность.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Если раствор подчиняется основному закону фотометрии, что является необходимым условием для ряда фотометрических методов, то зависимость </w:t>
      </w:r>
      <w:r w:rsidR="00260704">
        <w:rPr>
          <w:rFonts w:ascii="Times New Roman" w:hAnsi="Times New Roman"/>
          <w:sz w:val="28"/>
          <w:szCs w:val="28"/>
        </w:rPr>
        <w:pict>
          <v:shape id="_x0000_i1036" type="#_x0000_t75" style="width:42pt;height:15.75pt">
            <v:imagedata r:id="rId16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- линейная, характеризующаяся прямой, исходящей из начала координат, если нет, то прямолинейность нарушается. Поэтому перед фотометрическим определением выявляют пределы концентраций, для которых применим закон Бугера-Ламберта-Бера. В соответствии с этим выбирают и фотометрический метод. Например, выполнение этого закона не обязательно для некоторых вариантов колориметрического метода.</w:t>
      </w:r>
    </w:p>
    <w:p w:rsidR="00306626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Для обеспечения максимальной чувствительности метода в фотометрии строят так называемые "спектры поглощения вещества", т.е. графики зависимости </w:t>
      </w:r>
      <w:r w:rsidR="00260704">
        <w:rPr>
          <w:rFonts w:ascii="Times New Roman" w:hAnsi="Times New Roman"/>
          <w:sz w:val="28"/>
          <w:szCs w:val="28"/>
        </w:rPr>
        <w:pict>
          <v:shape id="_x0000_i1037" type="#_x0000_t75" style="width:33.75pt;height:15.75pt">
            <v:imagedata r:id="rId17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(</w:t>
      </w:r>
      <w:r w:rsidR="00260704">
        <w:rPr>
          <w:rFonts w:ascii="Times New Roman" w:hAnsi="Times New Roman"/>
          <w:sz w:val="28"/>
          <w:szCs w:val="28"/>
        </w:rPr>
        <w:pict>
          <v:shape id="_x0000_i1038" type="#_x0000_t75" style="width:9pt;height:12.75pt">
            <v:imagedata r:id="rId18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) при </w:t>
      </w:r>
      <w:r w:rsidR="00260704">
        <w:rPr>
          <w:rFonts w:ascii="Times New Roman" w:hAnsi="Times New Roman"/>
          <w:sz w:val="28"/>
          <w:szCs w:val="28"/>
        </w:rPr>
        <w:pict>
          <v:shape id="_x0000_i1039" type="#_x0000_t75" style="width:21pt;height:11.25pt">
            <v:imagedata r:id="rId19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1 моль/л и </w:t>
      </w:r>
      <w:r w:rsidR="00260704">
        <w:rPr>
          <w:rFonts w:ascii="Times New Roman" w:hAnsi="Times New Roman"/>
          <w:sz w:val="28"/>
          <w:szCs w:val="28"/>
        </w:rPr>
        <w:pict>
          <v:shape id="_x0000_i1040" type="#_x0000_t75" style="width:9.75pt;height:15pt">
            <v:imagedata r:id="rId20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=10 мм. Спектр поглощения каждого вещества графически представляет собой сложную кривую (рис. 2.5.2). Каждая полоса поглощения (пик на кривой) </w:t>
      </w:r>
    </w:p>
    <w:p w:rsidR="00800D7F" w:rsidRPr="00E52B59" w:rsidRDefault="00800D7F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38"/>
        <w:gridCol w:w="3297"/>
      </w:tblGrid>
      <w:tr w:rsidR="00800D7F" w:rsidRPr="00E52B59" w:rsidTr="00800D7F">
        <w:trPr>
          <w:trHeight w:val="3143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800D7F" w:rsidRDefault="00800D7F"/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800D7F" w:rsidRDefault="00260704" w:rsidP="00800D7F">
            <w:pPr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" o:spid="_x0000_i1041" type="#_x0000_t75" style="width:172.5pt;height:141.75pt;visibility:visible">
                  <v:imagedata r:id="rId21" o:title=""/>
                </v:shape>
              </w:pict>
            </w:r>
          </w:p>
        </w:tc>
      </w:tr>
    </w:tbl>
    <w:p w:rsidR="00800D7F" w:rsidRDefault="00800D7F" w:rsidP="00FC04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375A" w:rsidRDefault="00800D7F" w:rsidP="001E37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D7F">
        <w:rPr>
          <w:rFonts w:ascii="Times New Roman" w:hAnsi="Times New Roman"/>
          <w:sz w:val="28"/>
          <w:szCs w:val="28"/>
        </w:rPr>
        <w:t>Рис. 2.5.2. Сп</w:t>
      </w:r>
      <w:r>
        <w:rPr>
          <w:rFonts w:ascii="Times New Roman" w:hAnsi="Times New Roman"/>
          <w:sz w:val="28"/>
          <w:szCs w:val="28"/>
        </w:rPr>
        <w:t>ектр поглощения раствора.</w:t>
      </w:r>
      <w:r>
        <w:rPr>
          <w:rFonts w:ascii="Times New Roman" w:hAnsi="Times New Roman"/>
          <w:sz w:val="28"/>
          <w:szCs w:val="28"/>
        </w:rPr>
        <w:tab/>
      </w:r>
      <w:r w:rsidR="001E375A">
        <w:rPr>
          <w:rFonts w:ascii="Times New Roman" w:hAnsi="Times New Roman"/>
          <w:sz w:val="28"/>
          <w:szCs w:val="28"/>
        </w:rPr>
        <w:t xml:space="preserve"> </w:t>
      </w:r>
    </w:p>
    <w:p w:rsidR="001E375A" w:rsidRPr="00B42B59" w:rsidRDefault="00800D7F" w:rsidP="001E37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</w:t>
      </w:r>
      <w:r w:rsidRPr="00800D7F">
        <w:rPr>
          <w:rFonts w:ascii="Times New Roman" w:hAnsi="Times New Roman"/>
          <w:sz w:val="28"/>
          <w:szCs w:val="28"/>
        </w:rPr>
        <w:t>в ма</w:t>
      </w:r>
      <w:r>
        <w:rPr>
          <w:rFonts w:ascii="Times New Roman" w:hAnsi="Times New Roman"/>
          <w:sz w:val="28"/>
          <w:szCs w:val="28"/>
        </w:rPr>
        <w:t>ксимуме определенное значение</w:t>
      </w:r>
      <w:r w:rsidRPr="00800D7F">
        <w:rPr>
          <w:rFonts w:ascii="Times New Roman" w:hAnsi="Times New Roman"/>
          <w:sz w:val="28"/>
          <w:szCs w:val="28"/>
        </w:rPr>
        <w:t xml:space="preserve"> Измерения следует проводить в участках спектра, отвечающих мак</w:t>
      </w:r>
      <w:r>
        <w:rPr>
          <w:rFonts w:ascii="Times New Roman" w:hAnsi="Times New Roman"/>
          <w:sz w:val="28"/>
          <w:szCs w:val="28"/>
        </w:rPr>
        <w:t>симальному значению величины</w:t>
      </w:r>
      <w:r w:rsidRPr="00800D7F">
        <w:rPr>
          <w:rFonts w:ascii="Times New Roman" w:hAnsi="Times New Roman"/>
          <w:sz w:val="28"/>
          <w:szCs w:val="28"/>
        </w:rPr>
        <w:t xml:space="preserve"> Измере</w:t>
      </w:r>
      <w:r>
        <w:rPr>
          <w:rFonts w:ascii="Times New Roman" w:hAnsi="Times New Roman"/>
          <w:sz w:val="28"/>
          <w:szCs w:val="28"/>
        </w:rPr>
        <w:t>ния при максимальном значении</w:t>
      </w:r>
      <w:r w:rsidRPr="00800D7F">
        <w:rPr>
          <w:rFonts w:ascii="Times New Roman" w:hAnsi="Times New Roman"/>
          <w:sz w:val="28"/>
          <w:szCs w:val="28"/>
        </w:rPr>
        <w:t xml:space="preserve"> достигается монохроматизацией падающего светового потока, т.е. выделением из сплошного спектра узкого участка. Чем больше монохроматизация,</w:t>
      </w:r>
      <w:r w:rsidR="001E375A">
        <w:rPr>
          <w:rFonts w:ascii="Times New Roman" w:hAnsi="Times New Roman"/>
          <w:sz w:val="28"/>
          <w:szCs w:val="28"/>
        </w:rPr>
        <w:t xml:space="preserve"> тем точнее можно измерить</w:t>
      </w:r>
      <w:r w:rsidRPr="00800D7F">
        <w:rPr>
          <w:rFonts w:ascii="Times New Roman" w:hAnsi="Times New Roman"/>
          <w:sz w:val="28"/>
          <w:szCs w:val="28"/>
        </w:rPr>
        <w:t xml:space="preserve"> и, следова</w:t>
      </w:r>
      <w:r w:rsidR="00306626" w:rsidRPr="00800D7F">
        <w:rPr>
          <w:rFonts w:ascii="Times New Roman" w:hAnsi="Times New Roman"/>
          <w:sz w:val="28"/>
          <w:szCs w:val="28"/>
        </w:rPr>
        <w:t xml:space="preserve">тельно, тем точнее можно определить концентрацию вещества. Выбор в качестве монохроматора светофильтра основан на следующей зависимости спектров пропускания и поглощения: минимум спектра пропускания (максимум спектра поглощения) определяемого вещества должен </w:t>
      </w:r>
      <w:r w:rsidR="001E375A">
        <w:t xml:space="preserve">совпадать с </w:t>
      </w:r>
      <w:r w:rsidR="001E375A" w:rsidRPr="00B42B59">
        <w:rPr>
          <w:rFonts w:ascii="Times New Roman" w:hAnsi="Times New Roman"/>
          <w:sz w:val="28"/>
          <w:szCs w:val="28"/>
        </w:rPr>
        <w:t xml:space="preserve">максимумом пропускания (минимумом поглощения) светофильтра (рис. 2.5.3). </w:t>
      </w:r>
    </w:p>
    <w:p w:rsidR="001E375A" w:rsidRDefault="00260704" w:rsidP="001E375A">
      <w:r>
        <w:rPr>
          <w:rFonts w:ascii="Times New Roman" w:hAnsi="Times New Roman"/>
          <w:sz w:val="28"/>
          <w:szCs w:val="28"/>
        </w:rPr>
        <w:pict>
          <v:shape id="_x0000_i1042" type="#_x0000_t75" style="width:180pt;height:147.75pt">
            <v:imagedata r:id="rId22" o:title=""/>
          </v:shape>
        </w:pict>
      </w:r>
    </w:p>
    <w:p w:rsidR="00B42B59" w:rsidRDefault="00B42B59" w:rsidP="001E37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626" w:rsidRPr="00E52B59" w:rsidRDefault="001E375A" w:rsidP="00CA1ED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75A">
        <w:rPr>
          <w:rFonts w:ascii="Times New Roman" w:hAnsi="Times New Roman"/>
          <w:sz w:val="28"/>
          <w:szCs w:val="28"/>
        </w:rPr>
        <w:t xml:space="preserve">Если спектральная характеристика анализируемого раствора неизвестна, то светофильтр выбирают по дополнительному цвету к окраске раствора (табл. 2.5.2). Более совершенна монохро-матизация с помощью призм и дифракционных решеток. В фотометрии могут быть </w:t>
      </w:r>
      <w:r w:rsidR="00306626" w:rsidRPr="001E375A">
        <w:rPr>
          <w:rFonts w:ascii="Times New Roman" w:hAnsi="Times New Roman"/>
          <w:sz w:val="28"/>
          <w:szCs w:val="28"/>
        </w:rPr>
        <w:t>использованы все способы определения концентрации, изложенные в главе 2.1.</w:t>
      </w:r>
      <w:r w:rsidR="00CA1EDA">
        <w:rPr>
          <w:rFonts w:ascii="Times New Roman" w:hAnsi="Times New Roman"/>
          <w:sz w:val="28"/>
          <w:szCs w:val="28"/>
        </w:rPr>
        <w:t xml:space="preserve"> В визуальной колориметрии </w:t>
      </w:r>
      <w:r w:rsidR="00306626" w:rsidRPr="001E375A">
        <w:rPr>
          <w:rFonts w:ascii="Times New Roman" w:hAnsi="Times New Roman"/>
          <w:sz w:val="28"/>
          <w:szCs w:val="28"/>
        </w:rPr>
        <w:t>в основном используют три метода:</w:t>
      </w:r>
      <w:r w:rsidR="00306626" w:rsidRPr="001E375A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стандартных серий</w:t>
      </w:r>
      <w:r w:rsidR="00306626" w:rsidRPr="001E375A">
        <w:rPr>
          <w:rFonts w:ascii="Times New Roman" w:hAnsi="Times New Roman"/>
          <w:sz w:val="28"/>
          <w:szCs w:val="28"/>
        </w:rPr>
        <w:t xml:space="preserve">, </w:t>
      </w:r>
      <w:r w:rsidR="00306626" w:rsidRPr="001E375A">
        <w:rPr>
          <w:rFonts w:ascii="Times New Roman" w:hAnsi="Times New Roman"/>
          <w:b/>
          <w:bCs/>
          <w:i/>
          <w:iCs/>
          <w:sz w:val="28"/>
          <w:szCs w:val="28"/>
        </w:rPr>
        <w:t>колориметрического титрования</w:t>
      </w:r>
      <w:r w:rsidR="00306626" w:rsidRPr="001E375A">
        <w:rPr>
          <w:rFonts w:ascii="Times New Roman" w:hAnsi="Times New Roman"/>
          <w:sz w:val="28"/>
          <w:szCs w:val="28"/>
        </w:rPr>
        <w:t xml:space="preserve"> и </w:t>
      </w:r>
      <w:r w:rsidR="00306626" w:rsidRPr="001E375A">
        <w:rPr>
          <w:rFonts w:ascii="Times New Roman" w:hAnsi="Times New Roman"/>
          <w:b/>
          <w:bCs/>
          <w:i/>
          <w:iCs/>
          <w:sz w:val="28"/>
          <w:szCs w:val="28"/>
        </w:rPr>
        <w:t>уравнивания</w:t>
      </w:r>
      <w:r w:rsidR="00306626" w:rsidRPr="001E375A">
        <w:rPr>
          <w:rFonts w:ascii="Times New Roman" w:hAnsi="Times New Roman"/>
          <w:sz w:val="28"/>
          <w:szCs w:val="28"/>
        </w:rPr>
        <w:t>. При этом два первых метода не требуют соблюдения основного закона</w:t>
      </w:r>
      <w:r w:rsidR="00306626" w:rsidRPr="00E52B59">
        <w:rPr>
          <w:rFonts w:ascii="Times New Roman" w:hAnsi="Times New Roman"/>
          <w:sz w:val="28"/>
          <w:szCs w:val="28"/>
        </w:rPr>
        <w:t xml:space="preserve"> фотометрии.</w:t>
      </w:r>
    </w:p>
    <w:p w:rsidR="00B42B59" w:rsidRDefault="00B42B59" w:rsidP="00FC0477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06626" w:rsidRPr="00E52B59" w:rsidRDefault="00306626" w:rsidP="00FC0477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52B59">
        <w:rPr>
          <w:rFonts w:ascii="Times New Roman" w:hAnsi="Times New Roman"/>
          <w:i/>
          <w:iCs/>
          <w:sz w:val="28"/>
          <w:szCs w:val="28"/>
        </w:rPr>
        <w:t>Таблица 2.5.2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19"/>
        <w:gridCol w:w="2317"/>
        <w:gridCol w:w="2126"/>
      </w:tblGrid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Анализируемый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раствор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Светофильтр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Полоса поглощения, нм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625-750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Зелено-синий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Оранжевый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590-625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Сине-зеленый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Желтый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574-590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Желто-зеленый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500-575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500-560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Пурпурный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Зелено-синий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490-500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Сине-зеленый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480-490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Оранжевый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450-480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Желтый</w:t>
            </w:r>
          </w:p>
        </w:tc>
      </w:tr>
      <w:tr w:rsidR="00306626" w:rsidRPr="00B42B59" w:rsidTr="00306626"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400-450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626" w:rsidRPr="00B42B59" w:rsidRDefault="00306626" w:rsidP="00B42B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B59">
              <w:rPr>
                <w:rFonts w:ascii="Times New Roman" w:hAnsi="Times New Roman"/>
                <w:sz w:val="20"/>
                <w:szCs w:val="20"/>
              </w:rPr>
              <w:t>Желто-синий</w:t>
            </w:r>
          </w:p>
        </w:tc>
      </w:tr>
    </w:tbl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В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методе стандартных серий</w:t>
      </w:r>
      <w:r w:rsidRPr="00E52B59">
        <w:rPr>
          <w:rFonts w:ascii="Times New Roman" w:hAnsi="Times New Roman"/>
          <w:sz w:val="28"/>
          <w:szCs w:val="28"/>
        </w:rPr>
        <w:t xml:space="preserve"> анализируемый раствор в слое определенной толщины сравнивают с набором стандартных растворов такой же толщины слоя. Сравнивают интенсивность окраски анализируемого раствора с эталонной серией. Концентрация </w:t>
      </w:r>
      <w:r w:rsidRPr="00E52B59">
        <w:rPr>
          <w:rFonts w:ascii="Times New Roman" w:hAnsi="Times New Roman"/>
          <w:i/>
          <w:iCs/>
          <w:sz w:val="28"/>
          <w:szCs w:val="28"/>
        </w:rPr>
        <w:t>С</w:t>
      </w:r>
      <w:r w:rsidRPr="00E52B59">
        <w:rPr>
          <w:rFonts w:ascii="Times New Roman" w:hAnsi="Times New Roman"/>
          <w:sz w:val="28"/>
          <w:szCs w:val="28"/>
          <w:vertAlign w:val="subscript"/>
        </w:rPr>
        <w:t>х</w:t>
      </w:r>
      <w:r w:rsidRPr="00E52B59">
        <w:rPr>
          <w:rFonts w:ascii="Times New Roman" w:hAnsi="Times New Roman"/>
          <w:sz w:val="28"/>
          <w:szCs w:val="28"/>
        </w:rPr>
        <w:t xml:space="preserve"> принимается равной концентрации эталонного раствора, одинакового с ним по интенсивности окраски.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В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методе уравнивания</w:t>
      </w:r>
      <w:r w:rsidRPr="00E52B59">
        <w:rPr>
          <w:rFonts w:ascii="Times New Roman" w:hAnsi="Times New Roman"/>
          <w:sz w:val="28"/>
          <w:szCs w:val="28"/>
        </w:rPr>
        <w:t xml:space="preserve"> (сравнения с эталоном) добиваются на колориметре погружения (Дюбоска) равенства оптических плотностей анализируемого и стандартного растворов изменением толщины поглощающего слоя, через который проходит световой поток, т.е. добиваются </w:t>
      </w:r>
      <w:r w:rsidR="00260704">
        <w:rPr>
          <w:rFonts w:ascii="Times New Roman" w:hAnsi="Times New Roman"/>
          <w:sz w:val="28"/>
          <w:szCs w:val="28"/>
        </w:rPr>
        <w:pict>
          <v:shape id="_x0000_i1043" type="#_x0000_t75" style="width:45.75pt;height:18pt">
            <v:imagedata r:id="rId23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 или </w:t>
      </w:r>
      <w:r w:rsidR="00260704">
        <w:rPr>
          <w:rFonts w:ascii="Times New Roman" w:hAnsi="Times New Roman"/>
          <w:sz w:val="28"/>
          <w:szCs w:val="28"/>
        </w:rPr>
        <w:pict>
          <v:shape id="_x0000_i1044" type="#_x0000_t75" style="width:102pt;height:18pt">
            <v:imagedata r:id="rId24" o:title=""/>
          </v:shape>
        </w:pict>
      </w:r>
      <w:r w:rsidRPr="00E52B59">
        <w:rPr>
          <w:rFonts w:ascii="Times New Roman" w:hAnsi="Times New Roman"/>
          <w:sz w:val="28"/>
          <w:szCs w:val="28"/>
        </w:rPr>
        <w:t xml:space="preserve">, откуда </w:t>
      </w:r>
      <w:r w:rsidR="00260704">
        <w:rPr>
          <w:rFonts w:ascii="Times New Roman" w:hAnsi="Times New Roman"/>
          <w:sz w:val="28"/>
          <w:szCs w:val="28"/>
        </w:rPr>
        <w:pict>
          <v:shape id="_x0000_i1045" type="#_x0000_t75" style="width:55.5pt;height:33pt">
            <v:imagedata r:id="rId25" o:title=""/>
          </v:shape>
        </w:pict>
      </w:r>
      <w:r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В методе </w:t>
      </w: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колориметрического титрования </w:t>
      </w:r>
      <w:r w:rsidRPr="00E52B59">
        <w:rPr>
          <w:rFonts w:ascii="Times New Roman" w:hAnsi="Times New Roman"/>
          <w:sz w:val="28"/>
          <w:szCs w:val="28"/>
        </w:rPr>
        <w:t xml:space="preserve">параллельно титруют равные объемы окрашенного анализируемого раствора и дистиллированной воды, добавляя из двух бюреток равные по объему порции дистиллированной воды к анализируемому раствору и окрашенного стандартного раствора к воде. Одинаковая интенсивность окраски достигается при равных количествах определяемого вещества в обоих объемах. Зная исходный объем исследуемого раствора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E52B59">
        <w:rPr>
          <w:rFonts w:ascii="Times New Roman" w:hAnsi="Times New Roman"/>
          <w:sz w:val="28"/>
          <w:szCs w:val="28"/>
          <w:vertAlign w:val="subscript"/>
          <w:lang w:val="en-US"/>
        </w:rPr>
        <w:t>x</w:t>
      </w:r>
      <w:r w:rsidRPr="00E52B59">
        <w:rPr>
          <w:rFonts w:ascii="Times New Roman" w:hAnsi="Times New Roman"/>
          <w:sz w:val="28"/>
          <w:szCs w:val="28"/>
        </w:rPr>
        <w:t xml:space="preserve"> и объем стандартного раствора, </w:t>
      </w:r>
      <w:r w:rsidRPr="00E52B59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E52B59">
        <w:rPr>
          <w:rFonts w:ascii="Times New Roman" w:hAnsi="Times New Roman"/>
          <w:sz w:val="28"/>
          <w:szCs w:val="28"/>
          <w:vertAlign w:val="subscript"/>
        </w:rPr>
        <w:t>ст</w:t>
      </w:r>
      <w:r w:rsidRPr="00E52B59">
        <w:rPr>
          <w:rFonts w:ascii="Times New Roman" w:hAnsi="Times New Roman"/>
          <w:sz w:val="28"/>
          <w:szCs w:val="28"/>
        </w:rPr>
        <w:t xml:space="preserve"> добавленного до уравнивания окраски, а также титр стандартного раствора </w:t>
      </w:r>
      <w:r w:rsidRPr="00E52B59">
        <w:rPr>
          <w:rFonts w:ascii="Times New Roman" w:hAnsi="Times New Roman"/>
          <w:i/>
          <w:iCs/>
          <w:sz w:val="28"/>
          <w:szCs w:val="28"/>
        </w:rPr>
        <w:t>Т</w:t>
      </w:r>
      <w:r w:rsidRPr="00E52B59">
        <w:rPr>
          <w:rFonts w:ascii="Times New Roman" w:hAnsi="Times New Roman"/>
          <w:sz w:val="28"/>
          <w:szCs w:val="28"/>
          <w:vertAlign w:val="subscript"/>
        </w:rPr>
        <w:t>ст</w:t>
      </w:r>
      <w:r w:rsidRPr="00E52B59">
        <w:rPr>
          <w:rFonts w:ascii="Times New Roman" w:hAnsi="Times New Roman"/>
          <w:sz w:val="28"/>
          <w:szCs w:val="28"/>
        </w:rPr>
        <w:t xml:space="preserve">, находят </w:t>
      </w:r>
      <w:r w:rsidRPr="00E52B59">
        <w:rPr>
          <w:rFonts w:ascii="Times New Roman" w:hAnsi="Times New Roman"/>
          <w:i/>
          <w:iCs/>
          <w:sz w:val="28"/>
          <w:szCs w:val="28"/>
        </w:rPr>
        <w:t>Т</w:t>
      </w:r>
      <w:r w:rsidRPr="00E52B59">
        <w:rPr>
          <w:rFonts w:ascii="Times New Roman" w:hAnsi="Times New Roman"/>
          <w:sz w:val="28"/>
          <w:szCs w:val="28"/>
          <w:vertAlign w:val="subscript"/>
        </w:rPr>
        <w:t>х</w:t>
      </w:r>
      <w:r w:rsidRPr="00E52B59">
        <w:rPr>
          <w:rFonts w:ascii="Times New Roman" w:hAnsi="Times New Roman"/>
          <w:sz w:val="28"/>
          <w:szCs w:val="28"/>
        </w:rPr>
        <w:t>:</w:t>
      </w:r>
    </w:p>
    <w:p w:rsidR="00306626" w:rsidRPr="00E52B59" w:rsidRDefault="00260704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6" type="#_x0000_t75" style="width:62.25pt;height:35.25pt">
            <v:imagedata r:id="rId26" o:title=""/>
          </v:shape>
        </w:pict>
      </w:r>
      <w:r w:rsidR="00306626" w:rsidRPr="00E52B59">
        <w:rPr>
          <w:rFonts w:ascii="Times New Roman" w:hAnsi="Times New Roman"/>
          <w:sz w:val="28"/>
          <w:szCs w:val="28"/>
        </w:rPr>
        <w:t>.</w:t>
      </w:r>
    </w:p>
    <w:p w:rsidR="00306626" w:rsidRPr="00E52B59" w:rsidRDefault="00306626" w:rsidP="00FC04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В фотоэлектрометрии и спектрофотометрии определение неизвестной концентрации проводят методами добавки или стандартных серий.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Фотоколориметрический метод основан на фотоэлектрическом измерении интенсивности окраски растворов. Общий принцип всех систем фотоэлектроколориметров заключается в том, что световой поток, прошедший через кювету с окрашенным раствором, попадает на фотоэлемент, преобразующий световую энергию в электрическую, измеряемую гальванометром. </w:t>
      </w:r>
      <w:r w:rsidRPr="00E52B59">
        <w:rPr>
          <w:rFonts w:ascii="Times New Roman" w:hAnsi="Times New Roman"/>
          <w:caps/>
          <w:sz w:val="28"/>
          <w:szCs w:val="28"/>
        </w:rPr>
        <w:t>ф</w:t>
      </w:r>
      <w:r w:rsidRPr="00E52B59">
        <w:rPr>
          <w:rFonts w:ascii="Times New Roman" w:hAnsi="Times New Roman"/>
          <w:sz w:val="28"/>
          <w:szCs w:val="28"/>
        </w:rPr>
        <w:t>отоэлектроколориметры  в зависимости от числа используемых при измерении фотоэлементов делят на две группы: 1) с одним фотоэлементом (однолучевые) - КФК-2 и др.; 2) с двумя фотоэлементами (двухлучевые) - ФЭК-М, ФЭК-56М, ФЭК-Н-57, ФЭК-60 и др.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Фотоэлектроколориметрирование уменьшает трудоемкость и повышает точность и объективность анализа.</w:t>
      </w:r>
    </w:p>
    <w:p w:rsidR="00306626" w:rsidRPr="00E52B59" w:rsidRDefault="00306626" w:rsidP="00B42B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b/>
          <w:bCs/>
          <w:i/>
          <w:iCs/>
          <w:sz w:val="28"/>
          <w:szCs w:val="28"/>
        </w:rPr>
        <w:t>Спектрофотометрический метод</w:t>
      </w:r>
      <w:r w:rsidRPr="00E52B59">
        <w:rPr>
          <w:rFonts w:ascii="Times New Roman" w:hAnsi="Times New Roman"/>
          <w:sz w:val="28"/>
          <w:szCs w:val="28"/>
        </w:rPr>
        <w:t xml:space="preserve"> основан на измерении с помощью спектрофотометра светопоглощения раствора в монохроматическом потоке света, т.е. потоке света с определенной длиной волны. Светопоглощение в спектрофотометре также измеряется фотоэлементами. Однако в нем имеется призма или дифракционная решетка и щель, позволяющие разложить световой поток в спектр, отобрать и направить на кювету с анализируемым раствором свет с необходимой длиной волны или световой пучок с узким участком спектра, который преимущественно поглощает анализируемое соединение раствора. Измерение светопоглощения при длине волны, соответствующей максимуму светопоглощения, увеличивает чувствительность и облегчает определение одного окрашенного соединения в присутствии другого. Для анализа используют спектрофотометры типа СФ-4, СФ-4А, СФ-5, СФ-10, СФД-2, ИКС-12, "</w:t>
      </w:r>
      <w:r w:rsidRPr="00E52B59">
        <w:rPr>
          <w:rFonts w:ascii="Times New Roman" w:hAnsi="Times New Roman"/>
          <w:sz w:val="28"/>
          <w:szCs w:val="28"/>
          <w:lang w:val="en-US"/>
        </w:rPr>
        <w:t>Specol</w:t>
      </w:r>
      <w:r w:rsidRPr="00E52B59">
        <w:rPr>
          <w:rFonts w:ascii="Times New Roman" w:hAnsi="Times New Roman"/>
          <w:sz w:val="28"/>
          <w:szCs w:val="28"/>
        </w:rPr>
        <w:t>"(Германия) и др.</w:t>
      </w:r>
    </w:p>
    <w:p w:rsidR="00306626" w:rsidRPr="00E52B59" w:rsidRDefault="00306626" w:rsidP="00FC04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Для разделения разных молекул НФ должна обладать хотя бы одним из их основных свойств:</w:t>
      </w:r>
    </w:p>
    <w:p w:rsidR="00306626" w:rsidRPr="00E52B59" w:rsidRDefault="00306626" w:rsidP="00FC04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1) физически сорбировать вещества, находящиеся в ПФ;</w:t>
      </w:r>
    </w:p>
    <w:p w:rsidR="00306626" w:rsidRPr="00E52B59" w:rsidRDefault="00306626" w:rsidP="00FC0477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химически сорбировать вещества, находящиеся в ПФ;</w:t>
      </w:r>
    </w:p>
    <w:p w:rsidR="00306626" w:rsidRPr="00E52B59" w:rsidRDefault="00306626" w:rsidP="00FC047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52B59">
        <w:rPr>
          <w:rFonts w:ascii="Times New Roman" w:hAnsi="Times New Roman"/>
          <w:sz w:val="28"/>
          <w:szCs w:val="28"/>
        </w:rPr>
        <w:t>растворять разделяемые вещества;</w:t>
      </w:r>
    </w:p>
    <w:p w:rsidR="00306626" w:rsidRPr="00E52B59" w:rsidRDefault="00306626" w:rsidP="00FC0477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иметь пористую структуру и поэтому удерживать одни вещества и не задерживать другие, в зависимости от их размеров или формы.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 xml:space="preserve">Хроматографический метод является универсальным для разделения и анализа смесей веществ самой различной природы. В зависимости от конкретных задач он видоизменялся, вследствие чего возникло много вариантов метода (см. табл. 2.6.1). 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В настоящее время хроматографические методы классифицируют по следующим признакам: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1) агрегатному состоянию ПФ и НФ;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2) механизму взаимодействия веществ, анализируемой смеси и сорбента;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3) природе явлений, лежащих в процессе разделения;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4) способу оформления метода;</w:t>
      </w:r>
    </w:p>
    <w:p w:rsidR="00306626" w:rsidRPr="00E52B59" w:rsidRDefault="00306626" w:rsidP="00FC04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59">
        <w:rPr>
          <w:rFonts w:ascii="Times New Roman" w:hAnsi="Times New Roman"/>
          <w:sz w:val="28"/>
          <w:szCs w:val="28"/>
        </w:rPr>
        <w:t>5) методу проведения анализа.</w:t>
      </w:r>
    </w:p>
    <w:p w:rsidR="00306626" w:rsidRPr="00E52B59" w:rsidRDefault="00306626" w:rsidP="00FC04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7D6" w:rsidRPr="00E52B59" w:rsidRDefault="006C57D6" w:rsidP="00FC04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C57D6" w:rsidRPr="00E52B59" w:rsidSect="00B42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41348A2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630A4A1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>
        <w:start w:val="4"/>
        <w:numFmt w:val="decimal"/>
        <w:lvlText w:val="%1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F4356"/>
    <w:rsid w:val="001E1124"/>
    <w:rsid w:val="001E375A"/>
    <w:rsid w:val="001F19D4"/>
    <w:rsid w:val="00260704"/>
    <w:rsid w:val="00306626"/>
    <w:rsid w:val="003945A2"/>
    <w:rsid w:val="004F2519"/>
    <w:rsid w:val="00572334"/>
    <w:rsid w:val="00597E56"/>
    <w:rsid w:val="00647943"/>
    <w:rsid w:val="006C57D6"/>
    <w:rsid w:val="006E62DD"/>
    <w:rsid w:val="0077389D"/>
    <w:rsid w:val="007C4F3B"/>
    <w:rsid w:val="00800D7F"/>
    <w:rsid w:val="00B42B59"/>
    <w:rsid w:val="00BE7342"/>
    <w:rsid w:val="00CA1EDA"/>
    <w:rsid w:val="00DA3043"/>
    <w:rsid w:val="00DC2D13"/>
    <w:rsid w:val="00DE5189"/>
    <w:rsid w:val="00E52B59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D803BD3C-44B6-497D-9863-2A4E11AD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00D7F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admin</cp:lastModifiedBy>
  <cp:revision>2</cp:revision>
  <dcterms:created xsi:type="dcterms:W3CDTF">2014-02-20T10:13:00Z</dcterms:created>
  <dcterms:modified xsi:type="dcterms:W3CDTF">2014-02-20T10:13:00Z</dcterms:modified>
</cp:coreProperties>
</file>