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5FF" w:rsidRDefault="009D3973">
      <w:pPr>
        <w:pStyle w:val="1"/>
        <w:jc w:val="center"/>
      </w:pPr>
      <w:r>
        <w:t>Иностранный опыт налогового администрирования интегрированных корпоративных структур</w:t>
      </w:r>
    </w:p>
    <w:p w:rsidR="004755FF" w:rsidRPr="009D3973" w:rsidRDefault="009D3973">
      <w:pPr>
        <w:pStyle w:val="a3"/>
      </w:pPr>
      <w:r>
        <w:t> </w:t>
      </w:r>
    </w:p>
    <w:p w:rsidR="004755FF" w:rsidRDefault="009D3973">
      <w:pPr>
        <w:pStyle w:val="a3"/>
      </w:pPr>
      <w:r>
        <w:t>Салженикина Наталья Николаевна,зам. начальника отдела анализа и планирования налоговых проверок МИФНС России № 2 по Волгоградской области, аспирант кафедры налогообложения и аудита Волгоградского филиала Российской академии народного хозяйства и государственной службы при Президенте РФ</w:t>
      </w:r>
    </w:p>
    <w:p w:rsidR="004755FF" w:rsidRDefault="009D3973">
      <w:pPr>
        <w:pStyle w:val="a3"/>
      </w:pPr>
      <w:r>
        <w:t>В условиях глобализации экономики все большую роль приобретают различные объединения организаций, которые представляют собой интегрированные корпоративные структуры. В России интегрированные корпоративные структуры в целях налогообложения предстают в виде консолидированных групп налогоплательщиков. Рассмотрены четыре основные модели консолидированного налогообложения, а также проанализирован опыт иностранных государств в области осуществления налогового администрирования консолидированных налогоплательщиков. Сделан вывод о наличии у интегрированных корпоративных структур определяющей роли в обеспечении стабильного пополнения доходов бюджетов регионов и страны.</w:t>
      </w:r>
    </w:p>
    <w:p w:rsidR="004755FF" w:rsidRDefault="009D3973">
      <w:pPr>
        <w:pStyle w:val="a3"/>
      </w:pPr>
      <w:r>
        <w:t>В последние годы все больше усиливаются процессы глобализации российской экономики, основной предпосылкой которой является вступление страны в такие организации, как Всемирная торговая организация и Организация экономического сотрудничества и развития. Как известно, за счет усиления экономической взаимозависимости национальных экономик на основе транснационализации и регионализации глобализация приводит к усложнению финансово-хозяйственных связей между экономическими субъектами, а также усложнению структуры самих субъектов, которые все чаще организуют свою деятельность в форме интегрированных корпоративных структур. Деятельность таких экономических субъектов нельзя объяснить только с точки зрения действия исключительно рыночного механизма в силу наличия зависимости одних участников интегрированных корпоративных структур от других, распределения сфер производства, реализации и продвижения товаров между их участниками, применения трансфертного ценообразования при реализации товаров между участниками. В то же время указанными структурами, которые, как правило, предстают в виде финансово-промышленных групп, концернов, холдингов, участники которых зачастую представляют собой градо- и бюджетообразующие предприятия, обеспечивается занятость значительной части населения соответствующего муниципального образования и основная доля поступлений налоговых доходов в бюджеты регионов и страны.</w:t>
      </w:r>
    </w:p>
    <w:p w:rsidR="004755FF" w:rsidRDefault="009D3973">
      <w:pPr>
        <w:pStyle w:val="a3"/>
      </w:pPr>
      <w:r>
        <w:t>Таким образом, интегрированные корпоративные структуры представляют собой «точки роста», «ядра» экономики страны и ее регионов, от устойчивого развития которых зависит устойчивость бюджетной системы страны, стабильность пополнения ее доходов. Последнее, в свою очередь, зависит от полноты поступления налогов и сборов или налоговых доходов, обеспечиваемой осуществлением качественного налогового администрирования интегрированных корпоративных структур.</w:t>
      </w:r>
    </w:p>
    <w:p w:rsidR="004755FF" w:rsidRDefault="009D3973">
      <w:pPr>
        <w:pStyle w:val="a3"/>
      </w:pPr>
      <w:r>
        <w:t>На сегодняшний день налоговое администрирование существующих в России интегрированных корпоративных структур осуществляется в соответствии с главой 3.1 Налогового кодекса Российской Федерации (далее - Налоговый кодекс), нормами которой установлен порядок создания, постановки на налоговый учет, прекращения деятельности консолидированной группы налогоплательщиков, права и обязанности ее участников. В соответствии с п. 1 ст. 25.1 Налогового кодекса в целях налогообложения под консолидированной группой налогоплательщиков понимается «добровольное объединение налогоплательщиков налога на прибыль организаций на основе договора о создании консолидированной группы налогоплательщиков в порядке и на условиях, которые предусмотрены Налоговым кодексом в целях исчисления и уплаты налога на прибыль организаций с учетом совокупного финансового результата хозяйственной деятельности указанных налогоплательщиков» [1].</w:t>
      </w:r>
    </w:p>
    <w:p w:rsidR="004755FF" w:rsidRDefault="009D3973">
      <w:pPr>
        <w:pStyle w:val="a3"/>
      </w:pPr>
      <w:r>
        <w:t>Необходимо отметить, что понятие консолидированного налогоплательщика не является новым. Указанное понятие зародилось в начале ХХ века в Австрии. Поводом для объединения налоговой базы групп компаний послужила заинтересованность государства в сокращении негативных последствий от деятельности отдельных экономических субъектов. При этом долгое время решение о консолидации налоговой базы принималось исключительно на основе существующей судебной практики, так как отсутствовала фактическая поддержка со стороны законодательства.</w:t>
      </w:r>
    </w:p>
    <w:p w:rsidR="004755FF" w:rsidRDefault="009D3973">
      <w:pPr>
        <w:pStyle w:val="a3"/>
      </w:pPr>
      <w:r>
        <w:t>На сегодняшний день существуют четыре основные модели консолидированного налогообложения групп компаний в целях исчисления налога на прибыль корпораций (рис.). Основным признаком, по которому разделяются указанные модели, является порядок определения и признания прибыли (убытка) участников группы компаний.</w:t>
      </w:r>
    </w:p>
    <w:p w:rsidR="004755FF" w:rsidRDefault="009D3973">
      <w:pPr>
        <w:pStyle w:val="a3"/>
      </w:pPr>
      <w:r>
        <w:t>В австро-немецкой модели все убытки и прибыли приходятся на долю материнской компании, а члены корпорации рассматриваются в качестве внутренних подразделений головной компании. В Австрии важным моментом является то, что до вступления в группу консолидированных налогоплательщиков участник обязан уменьшить свою прибыль на полученные им убытки, и только после этого он имеет право засчитывать себе убытки группы.</w:t>
      </w:r>
    </w:p>
    <w:p w:rsidR="004755FF" w:rsidRDefault="009D3973">
      <w:pPr>
        <w:pStyle w:val="a3"/>
      </w:pPr>
      <w:r>
        <w:t>При применении второй модели консолидации участники группы компаний имеют возможность перемещать доходы между членами данной группы. В этом случае, если одна компания из группы компаний получила убыток, то другая компания группы, имеющая прибыль, может сделать «вклад» в убыточную, при этом она получает право сократить свою налоговую базу на величину данного «вклада», в результате чего все прибыли и убытки группы компаний компенсируются. Подобная модель применяется в Норвегии, Швеции и Финляндии.</w:t>
      </w:r>
    </w:p>
    <w:p w:rsidR="004755FF" w:rsidRDefault="009D3973">
      <w:pPr>
        <w:pStyle w:val="a3"/>
      </w:pPr>
      <w:r>
        <w:t>В Великобритании, Новой Зеландии и Сингапуре используется третья модель консолидированного налогообложения группы компаний. В рамках указанной модели действует система освобождения группы, которая позволяет передать убытки одного члена группы другому. Главное отличие этой системы от предыдущей заключается в том, что здесь передаются только убытки.</w:t>
      </w:r>
    </w:p>
    <w:p w:rsidR="004755FF" w:rsidRDefault="009D3973">
      <w:pPr>
        <w:pStyle w:val="a3"/>
      </w:pPr>
      <w:r>
        <w:t>Однако наиболее типичной моделью является расчет прибыли корпорации отдельно на уровне каждого участника группы с последующей консолидацией полученных сумм на уровне групп компаний после определенных корректировок, после чего головная компания обязана рассчитать и заплатить налог от имени всей группы.</w:t>
      </w:r>
    </w:p>
    <w:p w:rsidR="004755FF" w:rsidRDefault="009D3973">
      <w:pPr>
        <w:pStyle w:val="a3"/>
      </w:pPr>
      <w:r>
        <w:t>Российская модель представляет собой комбинацию первой и четвертой моделей.</w:t>
      </w:r>
    </w:p>
    <w:p w:rsidR="004755FF" w:rsidRDefault="009D3973">
      <w:pPr>
        <w:pStyle w:val="a3"/>
      </w:pPr>
      <w:r>
        <w:t>Помимо порядка определения консолидированной налоговой базы модели налогообложения групп компаний в разных странах отличаются условиями участия в группе.</w:t>
      </w:r>
    </w:p>
    <w:p w:rsidR="004755FF" w:rsidRDefault="009D3973">
      <w:pPr>
        <w:pStyle w:val="a3"/>
      </w:pPr>
      <w:r>
        <w:t>Так, в США членами консолидированной группы могут быть практически все компании, зарегистрированные в государстве, за исключением некоторых видов компаний (например, компаний, освобожденных от налогообложения, или компаний, занимающихся экспортом). Кроме того, для всех участников группы должно соблюдаться условие прямого или косвенного участия головной компании в дочерней не менее 80%. При этом при расчете косвенного участия принимаются в расчет только те доли, которые косвенно принадлежат головной компании через дочерние компании, являющиеся участниками этой же консолидированной группы. Таким образом, косвенное участие в дочерней компании через организацию, не входящую в данную группу, не учитывается при расчете минимального порога необходимого участия основного общества в дочернем.</w:t>
      </w:r>
    </w:p>
    <w:p w:rsidR="004755FF" w:rsidRDefault="009D3973">
      <w:pPr>
        <w:pStyle w:val="a3"/>
      </w:pPr>
      <w:r>
        <w:t>В Великобритании право на «групповую налоговую льготу» - аналог консолидированной группы налогоплательщиков - имеют все компании независимо от того, являются они резидентами Великобритании или нет. Исключением являются компании газового и нефтяного комплекса, которые не могут получить данную льготу к доходам, полученным от газовой и нефтяной добычи, а также компании по страхованию жизни, которые могут применить групповую налоговую льготу только к доходам, облагаемым по основной акционерной ставке. Данные ограничения распространяются на определенный круг компаний и носят технический характер. Что касается необходимой доли участия головной компании в дочерних, то она должна быть менее 75% как напрямую, так и косвенно. Помимо указанной доли участия, определяющей право на принадлежность к группе компаний в целях консолидированного налогообложения, в Великобритании в целях передачи расходов от одного участника корпорации другому применяется понятие «консорциум». Консорциум образуется группой от двух до двадцати компаний, каждая из которых владеет не менее чем 5% акций другой компании, а их совокупное участие в этой компании составляет не менее 75%. Принятие убытка каждой из компании возможно в той пропорции, в которой осуществляется ее участие в общей дочерней компании консорциума.</w:t>
      </w:r>
    </w:p>
    <w:p w:rsidR="004755FF" w:rsidRDefault="009D3973">
      <w:pPr>
        <w:pStyle w:val="a3"/>
      </w:pPr>
      <w:r>
        <w:t>В Германии головными компаниями - членами консолидированной группы налогоплательщиков - могут быть организации, зарегистрированные в соответствии с законодательством страны, а также иностранные организации и партнерства, ведущие бизнес на территории Германии и облагаемые налогом на прибыль в соответствии с законодательством Германии. Дочерними же компаниями группы обязательно должны быть компании - резиденты Германии. Доля участия головной компании в дочерних должна быть не менее 50%.</w:t>
      </w:r>
    </w:p>
    <w:p w:rsidR="004755FF" w:rsidRDefault="009D3973">
      <w:pPr>
        <w:pStyle w:val="a3"/>
      </w:pPr>
      <w:r>
        <w:t>В Испании членами консолидированных групп налогоплательщиков могут быть компании - резиденты Испании с долей участия головной компании более 75%.</w:t>
      </w:r>
    </w:p>
    <w:p w:rsidR="004755FF" w:rsidRDefault="009D3973">
      <w:pPr>
        <w:pStyle w:val="a3"/>
      </w:pPr>
      <w:r>
        <w:t>Во Франции членами группы могут быть компании - резиденты Франции. Головной компанией группы также может быть постоянное представительство иностранной компании, прибыль от деятельности которого облагается налогом на прибыль во Франции. Степень участия головной компании в дочернем обществе должна составлять не менее 95%.</w:t>
      </w:r>
    </w:p>
    <w:p w:rsidR="004755FF" w:rsidRDefault="009D3973">
      <w:pPr>
        <w:pStyle w:val="a3"/>
      </w:pPr>
      <w:r>
        <w:t>В Бельгии применяется модель налогообложения группы компаний, схожая с налоговой консолидацией.</w:t>
      </w:r>
    </w:p>
    <w:p w:rsidR="004755FF" w:rsidRDefault="009D3973">
      <w:pPr>
        <w:pStyle w:val="a3"/>
      </w:pPr>
      <w:r>
        <w:t>В законодательстве Бельгии отсутствуют нормы о консолидации компаний в целях налогообложения, однако предусмотрена возможность заключения «договорного партнерства», налоговые последствия от деятельности которого распределяются между членами данного партнерства. Аналогом такой модели налогообложения в российском законодательстве является договор простого товарищества. При заключении такого договора стороны несут налоговую нагрузку по налогу на прибыль пропорционально внесенным вкладам. Принципиальная разница данной конструкции с режимом консолидированной группы налогоплательщиков заключается в отсутствии возможности у членов договора простого товарищества иметь совокупную прибыль или налоговую базу.</w:t>
      </w:r>
    </w:p>
    <w:p w:rsidR="004755FF" w:rsidRDefault="009D3973">
      <w:pPr>
        <w:pStyle w:val="a3"/>
      </w:pPr>
      <w:r>
        <w:t>Сравнительный анализ вышеприведенной информации и норм главы 3.1. Налогового кодекса позволяет сделать вывод о том, что российская модель консолидированного налогообложения интегрированных корпоративных структур во многом соответствует международным нормам. Кроме того, введенная система консолидированного налогообложения является необходимым инструментом повышения качества налогового администрирования российских интегрированных корпоративных структур и обеспечения стабильного формирования налоговых доходов бюджетов регионов и страны.</w:t>
      </w:r>
    </w:p>
    <w:p w:rsidR="004755FF" w:rsidRDefault="009D3973">
      <w:pPr>
        <w:pStyle w:val="a3"/>
      </w:pPr>
      <w:r>
        <w:t>Список литературы</w:t>
      </w:r>
    </w:p>
    <w:p w:rsidR="004755FF" w:rsidRDefault="009D3973">
      <w:pPr>
        <w:pStyle w:val="a3"/>
      </w:pPr>
      <w:r>
        <w:t>Налоговый кодекс Российской Федерации (часть первая) от 31.07.1998 года № 146-ФЗ (ред. от 03.12.2012 года) // Справочноправовая система «Консультант Плюс»: [Электронный ресурс] / Компания «Консультант Плюс».</w:t>
      </w:r>
    </w:p>
    <w:p w:rsidR="004755FF" w:rsidRDefault="009D3973">
      <w:pPr>
        <w:pStyle w:val="a3"/>
      </w:pPr>
      <w:r>
        <w:t>Табаков А. Н., Салженикина Н. Н. Некоторые аспекты налогового контроля мезоэкономических структур // Бизнес. Образование. Право. Вестник Волгоградского института бизнеса. 2012. № 4 (21). С. 203-206.</w:t>
      </w:r>
      <w:bookmarkStart w:id="0" w:name="_GoBack"/>
      <w:bookmarkEnd w:id="0"/>
    </w:p>
    <w:sectPr w:rsidR="004755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973"/>
    <w:rsid w:val="004755FF"/>
    <w:rsid w:val="009D3973"/>
    <w:rsid w:val="00FE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C40FC-7F12-40DD-ACFD-8D720E42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1681</Words>
  <Characters>9584</Characters>
  <Application>Microsoft Office Word</Application>
  <DocSecurity>0</DocSecurity>
  <Lines>79</Lines>
  <Paragraphs>22</Paragraphs>
  <ScaleCrop>false</ScaleCrop>
  <Company>diakov.net</Company>
  <LinksUpToDate>false</LinksUpToDate>
  <CharactersWithSpaces>11243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Иностранный опыт налогового администрирования интегрированных корпоративных структур</dc:title>
  <dc:subject/>
  <dc:creator>Irina</dc:creator>
  <cp:keywords/>
  <dc:description/>
  <cp:lastModifiedBy>Irina</cp:lastModifiedBy>
  <cp:revision>2</cp:revision>
  <dcterms:created xsi:type="dcterms:W3CDTF">2014-09-21T15:46:00Z</dcterms:created>
  <dcterms:modified xsi:type="dcterms:W3CDTF">2014-09-21T15:46:00Z</dcterms:modified>
</cp:coreProperties>
</file>