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79D8" w:rsidRDefault="00966027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Новые индустриальные страны (НИС)</w:t>
      </w:r>
    </w:p>
    <w:p w:rsidR="003779D8" w:rsidRDefault="00966027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Вплоть до середины 60-х гг., даже после деколонизации, экономисты Запада не особенно учитывали специфические социально-экономические проблемы развивающихся стран. Скорректированная в 70-80-е гг. концепция помощи основывается на предположении, что развитые страны Запада служат определенной моделью развивающихся стран, поскольку получаемая ими помощь состоит исключительно из образцов западной культуры: материальных благ, технологии, образования и культуры, норм политического и социального поведения и т.д.</w:t>
      </w:r>
    </w:p>
    <w:p w:rsidR="003779D8" w:rsidRDefault="00966027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Процессы дифференциации, протекающие во всех подсистемах мировой экономики, следовательно, и в развивающихся странах, привели к выделению особой группы стран, получивших название «новые индустриальные страны» (НИС). Данные государства отличаются более высоким экономическим ростом, чем промышленно развитые страны, и существенно более высоким уровнем развития хозяйства по сравнению с основной группой развивающихся стран.</w:t>
      </w:r>
    </w:p>
    <w:p w:rsidR="003779D8" w:rsidRDefault="00966027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Обычно НИС подразделяют на</w:t>
      </w:r>
      <w:r>
        <w:rPr>
          <w:noProof/>
          <w:color w:val="000000"/>
        </w:rPr>
        <w:t xml:space="preserve"> 4</w:t>
      </w:r>
      <w:r>
        <w:rPr>
          <w:color w:val="000000"/>
        </w:rPr>
        <w:t xml:space="preserve"> поколения. К первому относят Республику Корею, Тайвань, Сингапур, Гонконг, Аргентину, Бразилию, Мексику; ко второму</w:t>
      </w:r>
      <w:r>
        <w:rPr>
          <w:noProof/>
          <w:color w:val="000000"/>
        </w:rPr>
        <w:t xml:space="preserve"> -</w:t>
      </w:r>
      <w:r>
        <w:rPr>
          <w:color w:val="000000"/>
        </w:rPr>
        <w:t xml:space="preserve"> Малайзию, Таиланд, Индию, Чили; к третьему</w:t>
      </w:r>
      <w:r>
        <w:rPr>
          <w:noProof/>
          <w:color w:val="000000"/>
        </w:rPr>
        <w:t xml:space="preserve"> -</w:t>
      </w:r>
      <w:r>
        <w:rPr>
          <w:color w:val="000000"/>
        </w:rPr>
        <w:t xml:space="preserve"> Кипр, Тунис, Турцию, Индонезию; и, наконец, к четвертому</w:t>
      </w:r>
      <w:r>
        <w:rPr>
          <w:noProof/>
          <w:color w:val="000000"/>
        </w:rPr>
        <w:t xml:space="preserve"> -</w:t>
      </w:r>
      <w:r>
        <w:rPr>
          <w:color w:val="000000"/>
        </w:rPr>
        <w:t xml:space="preserve"> Филиппины, южные провинции Китая и т.д.</w:t>
      </w:r>
    </w:p>
    <w:p w:rsidR="003779D8" w:rsidRDefault="00966027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Статус «НИС» страна приобретает по следующим критериям, установленными по методике ООН:</w:t>
      </w:r>
    </w:p>
    <w:p w:rsidR="003779D8" w:rsidRDefault="00966027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  <w:color w:val="000000"/>
        </w:rPr>
        <w:t>•</w:t>
      </w:r>
      <w:r>
        <w:rPr>
          <w:color w:val="000000"/>
        </w:rPr>
        <w:t xml:space="preserve"> размер ВВП на душу населения; </w:t>
      </w:r>
      <w:r>
        <w:rPr>
          <w:noProof/>
          <w:color w:val="000000"/>
        </w:rPr>
        <w:t>•</w:t>
      </w:r>
      <w:r>
        <w:rPr>
          <w:color w:val="000000"/>
        </w:rPr>
        <w:t xml:space="preserve"> среднегодовые темпы его прироста</w:t>
      </w:r>
      <w:r>
        <w:rPr>
          <w:noProof/>
          <w:color w:val="000000"/>
        </w:rPr>
        <w:t xml:space="preserve"> ; •</w:t>
      </w:r>
      <w:r>
        <w:rPr>
          <w:color w:val="000000"/>
        </w:rPr>
        <w:t xml:space="preserve"> удельный вес обрабатывающей промышленности в ВВП (он должен быть не более</w:t>
      </w:r>
      <w:r>
        <w:rPr>
          <w:noProof/>
          <w:color w:val="000000"/>
        </w:rPr>
        <w:t xml:space="preserve"> 20%); •</w:t>
      </w:r>
      <w:r>
        <w:rPr>
          <w:color w:val="000000"/>
        </w:rPr>
        <w:t xml:space="preserve"> объем экспорта промышленных изделий и их доля в общем вывозе; </w:t>
      </w:r>
      <w:r>
        <w:rPr>
          <w:noProof/>
          <w:color w:val="000000"/>
        </w:rPr>
        <w:t>•</w:t>
      </w:r>
      <w:r>
        <w:rPr>
          <w:color w:val="000000"/>
        </w:rPr>
        <w:t xml:space="preserve"> объем прямых инвестиций за рубежом.</w:t>
      </w:r>
    </w:p>
    <w:p w:rsidR="003779D8" w:rsidRDefault="00966027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По некоторым показателям НИС зачастую превосходят подобные показатели ряда промышленно развитых стран. На протяжении</w:t>
      </w:r>
      <w:r>
        <w:rPr>
          <w:noProof/>
          <w:color w:val="000000"/>
        </w:rPr>
        <w:t xml:space="preserve"> 30</w:t>
      </w:r>
      <w:r>
        <w:rPr>
          <w:color w:val="000000"/>
        </w:rPr>
        <w:t xml:space="preserve"> лет с</w:t>
      </w:r>
      <w:r>
        <w:rPr>
          <w:noProof/>
          <w:color w:val="000000"/>
        </w:rPr>
        <w:t xml:space="preserve"> 1960</w:t>
      </w:r>
      <w:r>
        <w:rPr>
          <w:color w:val="000000"/>
        </w:rPr>
        <w:t xml:space="preserve"> по</w:t>
      </w:r>
      <w:r>
        <w:rPr>
          <w:noProof/>
          <w:color w:val="000000"/>
        </w:rPr>
        <w:t xml:space="preserve"> 1990</w:t>
      </w:r>
      <w:r>
        <w:rPr>
          <w:color w:val="000000"/>
        </w:rPr>
        <w:t xml:space="preserve"> гг. темпы развития экономики азиатского региона в целом составляли более</w:t>
      </w:r>
      <w:r>
        <w:rPr>
          <w:noProof/>
          <w:color w:val="000000"/>
        </w:rPr>
        <w:t xml:space="preserve"> 5%</w:t>
      </w:r>
      <w:r>
        <w:rPr>
          <w:color w:val="000000"/>
        </w:rPr>
        <w:t xml:space="preserve"> в год, в то время как в европейских странах</w:t>
      </w:r>
      <w:r>
        <w:rPr>
          <w:noProof/>
          <w:color w:val="000000"/>
        </w:rPr>
        <w:t xml:space="preserve"> - 2%</w:t>
      </w:r>
      <w:r>
        <w:rPr>
          <w:color w:val="000000"/>
        </w:rPr>
        <w:t xml:space="preserve">  Развивающиеся страны, вступившие на индустриальный путь развития, начинают привлекать иностранные инвестиции и стимулировать рост внешней торговли. Доходы от экспорта используются для развития наиболее перспективных отраслей. В 60-е гг. на такой путь вступили страны Восточной Азии и Латинской Америки. В Восточной Азии капитал направлялся главным образом в обрабатывающую промышленность и сырьевые отрасли. В Латинской Америке</w:t>
      </w:r>
      <w:r>
        <w:rPr>
          <w:noProof/>
          <w:color w:val="000000"/>
        </w:rPr>
        <w:t xml:space="preserve"> -</w:t>
      </w:r>
      <w:r>
        <w:rPr>
          <w:color w:val="000000"/>
        </w:rPr>
        <w:t xml:space="preserve"> в торговлю, сферу услуг, обрабатывающую промышленность. Особо нужно выделить Восточную Азию.</w:t>
      </w:r>
    </w:p>
    <w:p w:rsidR="003779D8" w:rsidRDefault="00966027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В</w:t>
      </w:r>
      <w:r>
        <w:rPr>
          <w:noProof/>
          <w:color w:val="000000"/>
        </w:rPr>
        <w:t xml:space="preserve"> 21</w:t>
      </w:r>
      <w:r>
        <w:rPr>
          <w:color w:val="000000"/>
        </w:rPr>
        <w:t xml:space="preserve"> в., как отмечают многие специалисты, покажет свою силу азиатско-тихоокеанский регион. В</w:t>
      </w:r>
      <w:r>
        <w:rPr>
          <w:noProof/>
          <w:color w:val="000000"/>
        </w:rPr>
        <w:t xml:space="preserve"> 1989</w:t>
      </w:r>
      <w:r>
        <w:rPr>
          <w:color w:val="000000"/>
        </w:rPr>
        <w:t xml:space="preserve"> г.</w:t>
      </w:r>
      <w:r>
        <w:rPr>
          <w:noProof/>
          <w:color w:val="000000"/>
        </w:rPr>
        <w:t xml:space="preserve"> 18</w:t>
      </w:r>
      <w:r>
        <w:rPr>
          <w:color w:val="000000"/>
        </w:rPr>
        <w:t xml:space="preserve"> государств образовали форум азиатско-тихоокеанского сотрудничества (АТЭС): США, Канада, Китай, Япония, Австралия, Новая Зеландия, Республика Корея и т.д. Целями этой интегральной группировки стало упразднение торговых препятствий во взамоторговле и движении капитала. Однако, в силу того, что страны, входящие в АТЭС, различны, были установлены сроки для достижения этих целей: до</w:t>
      </w:r>
      <w:r>
        <w:rPr>
          <w:noProof/>
          <w:color w:val="000000"/>
        </w:rPr>
        <w:t xml:space="preserve"> 2010 -</w:t>
      </w:r>
      <w:r>
        <w:rPr>
          <w:color w:val="000000"/>
        </w:rPr>
        <w:t xml:space="preserve"> для развитых стран, до</w:t>
      </w:r>
      <w:r>
        <w:rPr>
          <w:noProof/>
          <w:color w:val="000000"/>
        </w:rPr>
        <w:t xml:space="preserve"> 2020</w:t>
      </w:r>
      <w:r>
        <w:rPr>
          <w:color w:val="000000"/>
        </w:rPr>
        <w:t xml:space="preserve"> г.</w:t>
      </w:r>
      <w:r>
        <w:rPr>
          <w:noProof/>
          <w:color w:val="000000"/>
        </w:rPr>
        <w:t xml:space="preserve"> -</w:t>
      </w:r>
      <w:r>
        <w:rPr>
          <w:color w:val="000000"/>
        </w:rPr>
        <w:t xml:space="preserve"> для развивающихся стран. АТЭС не является закрытым блоком. В ноябре</w:t>
      </w:r>
      <w:r>
        <w:rPr>
          <w:noProof/>
          <w:color w:val="000000"/>
        </w:rPr>
        <w:t xml:space="preserve"> 1998</w:t>
      </w:r>
      <w:r>
        <w:rPr>
          <w:color w:val="000000"/>
        </w:rPr>
        <w:t xml:space="preserve"> г. на очередной конференции в столице Малайзии Куала-Лумпуре в состав организации приняты еще</w:t>
      </w:r>
      <w:r>
        <w:rPr>
          <w:noProof/>
          <w:color w:val="000000"/>
        </w:rPr>
        <w:t xml:space="preserve"> 3</w:t>
      </w:r>
      <w:r>
        <w:rPr>
          <w:color w:val="000000"/>
        </w:rPr>
        <w:t xml:space="preserve"> страны: Вьетнам, Перу, Россия.</w:t>
      </w:r>
    </w:p>
    <w:p w:rsidR="003779D8" w:rsidRDefault="00966027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Экономическая стратегия Латинской Америки ознаменована тремя финансовыми волнами. С середины 70-х гг. Чили, Уругвай и Аргентина декларировали переход к новой стратегии развития</w:t>
      </w:r>
      <w:r>
        <w:rPr>
          <w:noProof/>
          <w:color w:val="000000"/>
        </w:rPr>
        <w:t xml:space="preserve"> -</w:t>
      </w:r>
      <w:r>
        <w:rPr>
          <w:color w:val="000000"/>
        </w:rPr>
        <w:t xml:space="preserve"> либеральной. Это означало резкое сокращение вмешательства государства в инвестиционные, кредитные, валютные и внешнеторговые операции и сужение его участия в предпринимательской деятельности. Ключевой реформой стала приватизация, призванная расширить пространство для частной инициативы. Но, как результат, реформы в Чили были полууспешными, а в Аргентине и Уругвае не удались. Дело в том, что реформы проводились преимущественно в рамках военно-диктаторских режимов, их творцами были «экономисты в мундирах» и суть преобразований сводилась к возврату национализированной собственности прежним владельцам и либерализации внешнеэкономической деятельности. Кроме того, перемены происходили в атмосфере взаимного отчуждения народа и власти.</w:t>
      </w:r>
    </w:p>
    <w:p w:rsidR="003779D8" w:rsidRDefault="00966027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Тяжелый экономический кризис Латинская Америка преодолела также в начале 80-х гг., что послужило толчком к перестройке национальных хозяйственно-технологических структур.</w:t>
      </w:r>
    </w:p>
    <w:p w:rsidR="003779D8" w:rsidRDefault="00966027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Еще один кризис наблюдается сейчас. Латинская Америка переживает сложный период комплексных структурных преобразований, для которых характерно нетрадиционное решение экономических, социальных, культурных проблем. Как отмечает журнал «Финансист», после</w:t>
      </w:r>
      <w:r>
        <w:rPr>
          <w:noProof/>
          <w:color w:val="000000"/>
        </w:rPr>
        <w:t xml:space="preserve"> 17</w:t>
      </w:r>
      <w:r>
        <w:rPr>
          <w:color w:val="000000"/>
        </w:rPr>
        <w:t xml:space="preserve"> августа</w:t>
      </w:r>
      <w:r>
        <w:rPr>
          <w:noProof/>
          <w:color w:val="000000"/>
        </w:rPr>
        <w:t xml:space="preserve"> 1998</w:t>
      </w:r>
      <w:r>
        <w:rPr>
          <w:color w:val="000000"/>
        </w:rPr>
        <w:t xml:space="preserve"> г. Бразилия оказалась на краю пропасти</w:t>
      </w:r>
      <w:r>
        <w:rPr>
          <w:noProof/>
          <w:color w:val="000000"/>
        </w:rPr>
        <w:t xml:space="preserve"> -</w:t>
      </w:r>
      <w:r>
        <w:rPr>
          <w:color w:val="000000"/>
        </w:rPr>
        <w:t xml:space="preserve"> она сохраняла положительные темпы прироста ВВП, но на фондовых рынках наблюдался настоящий обвал.. В период сентябрь-ноябрь ей требовалось погасить около</w:t>
      </w:r>
      <w:r>
        <w:rPr>
          <w:noProof/>
          <w:color w:val="000000"/>
        </w:rPr>
        <w:t xml:space="preserve"> 200</w:t>
      </w:r>
      <w:r>
        <w:rPr>
          <w:color w:val="000000"/>
        </w:rPr>
        <w:t xml:space="preserve"> млрд. долл. по внутренним долгам, при том, что падение доверия к развивающимся рынкам сильно сократило возможность рефинансирования долгов этого были повышены краткосрочные процентные ставки до</w:t>
      </w:r>
      <w:r>
        <w:rPr>
          <w:noProof/>
          <w:color w:val="000000"/>
        </w:rPr>
        <w:t xml:space="preserve"> 50%</w:t>
      </w:r>
      <w:r>
        <w:rPr>
          <w:color w:val="000000"/>
        </w:rPr>
        <w:t xml:space="preserve"> и отменены 15%-ные налоги на иностранные инвестиции. Все эти действия не остановили оттока капиталов</w:t>
      </w:r>
      <w:r>
        <w:rPr>
          <w:noProof/>
          <w:color w:val="000000"/>
        </w:rPr>
        <w:t xml:space="preserve"> -</w:t>
      </w:r>
      <w:r>
        <w:rPr>
          <w:color w:val="000000"/>
        </w:rPr>
        <w:t xml:space="preserve"> к концу октября золотовалютные резервы сократились до </w:t>
      </w:r>
      <w:r>
        <w:rPr>
          <w:noProof/>
          <w:color w:val="000000"/>
        </w:rPr>
        <w:t>41,6</w:t>
      </w:r>
      <w:r>
        <w:rPr>
          <w:color w:val="000000"/>
        </w:rPr>
        <w:t xml:space="preserve"> млрд. долл. против</w:t>
      </w:r>
      <w:r>
        <w:rPr>
          <w:noProof/>
          <w:color w:val="000000"/>
        </w:rPr>
        <w:t xml:space="preserve"> 70,9</w:t>
      </w:r>
      <w:r>
        <w:rPr>
          <w:color w:val="000000"/>
        </w:rPr>
        <w:t xml:space="preserve"> млрд. долл. в июле. Если Бразилия не сумеет до конца подавить кризис, то главным пострадавшим окажется США</w:t>
      </w:r>
      <w:r>
        <w:rPr>
          <w:noProof/>
          <w:color w:val="000000"/>
        </w:rPr>
        <w:t xml:space="preserve"> -</w:t>
      </w:r>
      <w:r>
        <w:rPr>
          <w:color w:val="000000"/>
        </w:rPr>
        <w:t xml:space="preserve"> главный кредитор Бразилии. В Латинской Америке идет смена цивилизационных ценностей, духовных ориентиров, что не может проходить безболезненно.</w:t>
      </w:r>
    </w:p>
    <w:p w:rsidR="003779D8" w:rsidRDefault="00966027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Как показывает латиноамериканский опыт, сильнейшим тормозом к преобразованиям социально-экономического характера является наличие у той или иной страны крупного внешнего долга. Достигая критической суммы, он ограничивает свободу действий государства, выбора собственной стратегии развития. Сейчас свыше</w:t>
      </w:r>
      <w:r>
        <w:rPr>
          <w:noProof/>
          <w:color w:val="000000"/>
        </w:rPr>
        <w:t xml:space="preserve"> 10</w:t>
      </w:r>
      <w:r>
        <w:rPr>
          <w:color w:val="000000"/>
        </w:rPr>
        <w:t xml:space="preserve"> стран региона не в состоянии вовремя уплачивать проценты по внешней задолженности.</w:t>
      </w:r>
    </w:p>
    <w:p w:rsidR="003779D8" w:rsidRDefault="00966027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Темпы экономического развития, как отмечалось выше, большинства НИС значительно превышают аналогичные показатели многих развитых стран. По производству отдельных видов промышленной продукции, в том числе наукоемких, НИС вышли на ведущие позиции в капиталистической экономике. Именно это обстоятельство и обусловило их необычайно ускоренный рост.</w:t>
      </w:r>
    </w:p>
    <w:p w:rsidR="003779D8" w:rsidRDefault="00966027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Еще более высокими темпами развивается экспорт из этих стран. Дело в том, что обладая высокой конкурентоспособностью, продукция обрабатывающей промышленности НИС все более интенсивно захватывает позиции на мировом рынке. НИС превратились в крупнейших экспортеров обуви, одежды, текстильных изделий, стремительно наращивают вывоз бытовой электронной аппаратуры и т.д. При этом НИС удалось не только найти свою нишу на мировом рынке, но и потеснить конкурентов из числа развитых капиталистических стран, </w:t>
      </w:r>
    </w:p>
    <w:p w:rsidR="003779D8" w:rsidRDefault="00966027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В силу множества факторов НИС оказались в сфере особых экономических и политических интересов капиталистических стран, которые направляли в эти страны почти половину всех финансовых ресурсов, предназначенных развивающимся государствам.</w:t>
      </w:r>
    </w:p>
    <w:p w:rsidR="003779D8" w:rsidRDefault="00966027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Быстрый рост экономики обусловил увеличение абсолютных размеров ВВП, в том числе и на душу населения. По этим показателям НИС в целом также опережает основную массу развитых стран. В структуре ВВП достаточно велик удельный вес внутренних накоплений, причем в азиатских НИС он выше, чем в большинстве индустриальных государств.</w:t>
      </w:r>
    </w:p>
    <w:p w:rsidR="003779D8" w:rsidRDefault="00966027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Использование положительного опыта НИС, осуществивших прорыв на мировой рынок наукоемкой продукции, имеет практическое значение для ускоренного формирования новой модели внешнеэкономических связей восточноевропейских стран, ориентированных на глубокое и комплексное сотрудничество в производстве, науке и технике.</w:t>
      </w:r>
    </w:p>
    <w:p w:rsidR="003779D8" w:rsidRDefault="00966027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Общая характеристика современного  состояния развивающихся стран.</w:t>
      </w:r>
    </w:p>
    <w:p w:rsidR="003779D8" w:rsidRDefault="00966027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Резкое повышение цен на нефть, другие энергоресурсы и на промышленное сырье в 1973—1974гг. способствовало быстрому обогащению стран-нефтеэкспортеров. В результате к концу 70-х годов выделились три группы развивающихся стран, существенно различающихся по экономическому уровню, отраслевой и технологической структуре, степени и профилю участия в международном разделении труда, внутренним и внешним условиям воспроизводственного процесса.</w:t>
      </w:r>
    </w:p>
    <w:p w:rsidR="003779D8" w:rsidRDefault="00966027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В первую группу вошли страны, которые по структурным параметрам и объему ВВП на душу населения ближе всего подошли к нижней границе развитых стран, а то и превысили ее. Это прежде всего «новые индустриальные страны». К этой же группе достаточно развитых стран следует отнести страны-экспортеры нефти и других энергоносителей, расположенные на Ближнем Востоке.</w:t>
      </w:r>
    </w:p>
    <w:p w:rsidR="003779D8" w:rsidRDefault="00966027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Ко второй группе развивающихся стран относят, как правило, страны со средним уровнем доходов. Это самая многочисленная и неоднородная группа. Сюда относятся такие крупные государства, как Индия, Пакистан, Турция, Египет, ЮАР, нефтедобывающие страны — Иран, Алжир, Венесуэла, Ливия, Габон, Нигерия; аграрно-сырьевые страны Азии, Африки и Латинской Америки. </w:t>
      </w:r>
    </w:p>
    <w:p w:rsidR="003779D8" w:rsidRDefault="00966027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К третьей группе относятся наименее развитые страны (НРС), включающие 48 государств Африки, Азии, Карибского бассейна и Ближнего Востока, в том числе такие многонаселенные страны, как Бангладеш, Республика Конго (бывший Заир) Мьянма, Танзания, Судан и Эфиопия. </w:t>
      </w:r>
    </w:p>
    <w:p w:rsidR="003779D8" w:rsidRDefault="00966027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Основные тенденции в экономике развивающихся стран в конце XX в.</w:t>
      </w:r>
    </w:p>
    <w:p w:rsidR="003779D8" w:rsidRDefault="00966027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В 70-х годах наступил исторический перелом в динамике разрыва между индустриально развитыми  и развивающимися странами. Внутриэкономические реформы и упорядочение законодательной базы, ускорившие развитие свободного частного предпринимательства,   способствовали   привлечению   иностранного капитала. По развивающимся странам в целом с 1986 г. наметился перелом в динамике чистого притока прямых иностранных инвестиций.</w:t>
      </w:r>
    </w:p>
    <w:p w:rsidR="003779D8" w:rsidRDefault="00966027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По прогнозам западных экономистов, приток иностранных капиталов в развивающиеся страны в ближайшие 15 лет увеличится. Повышательная динамика прямых иностранных инвестиций во многом объясняется постепенным перемещением трудоемких, ресурсо- и энергоемких, а также вредных для окружающей среды производств из развитых стран в развивающиеся. Неуклонный рост уровня жизни в высокоразвитых странах, повышение заработной платы, во многих случаях опережающее рост производительности труда, обострение экологических проблем приводят к удорожанию производимых в этих странах товаров и услуг и снижению их международной конкурентоспособности. Все это заставляет предпринимателей переносить трудоемкие и экологически неблагоприятные производства в развивающиеся страны, где дешевая рабочая сила, уникальные климатические условия, богатые недра. Что касается требований к защите окружающей среды, то здесь они значительно мягче, а следовательно, издержки производства существенно ниже. Хотя уровень образования населения в развивающихся странах явно недостаточен для освоения новейших технологий, однако он позволяет освоить некоторые технологические процессы, перемещаемые из индустриальных стран в развивающиеся.</w:t>
      </w:r>
    </w:p>
    <w:p w:rsidR="003779D8" w:rsidRDefault="00966027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Перемещение трудо-материало-энергоемких, а также экологически опасных отраслей экономики в развивающиеся страны постепенно способствует повышению квалификации рабочей силы принимающей страны, развитию финансовой, транспортной, информационной и прочей инфраструктуры, достижению правовой и политической стабильности.</w:t>
      </w:r>
    </w:p>
    <w:p w:rsidR="003779D8" w:rsidRDefault="00966027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Особая роль в этом процессе принадлежит ТНК, поскольку именно они вкладывают прямые иностранные инвестиции  в развивающиеся страны. Если интересы транснационального капитала  объективно   совпадают  с  национальными  интересами «принимающих стран», то ТНК могут обеспечить им решающие;, преимущества в конкуренции на мировом рынке. Если же сугубо экономические интересы ТНК противоречат национальным интересам развивающихся государств, то ТНК используют защиты своих интересов международные организации (МВФ, Всемирный банк, ЮНЕСКО, ФАО, МОТ и др.), методы информационного давления, экономические и даже силовые методы воздействия с использованием военный мощи международных   полицейских   сил Тем не менее положительное влияние деятельности ТНК на экономический прогресс в развивающемся мире несомненно, Быстрое развитие ранее отсталых регионов увеличивает их спрос на потребительские и инвестиционные товары индустриальных стран.</w:t>
      </w:r>
    </w:p>
    <w:p w:rsidR="003779D8" w:rsidRDefault="00966027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. При сохранении нынешних темпов роста ВВП развивающегося мира к 2010 г. он будет поглощать более 1/3 экспорта высокоразвитых гос-в. К тому же перемещение трудоизбыточных ресурсов и энергоемких, экологически загрязняющих производств в развивающиеся страны помогает развитым странам сохранять социальную и политическую стабильность, повышать благосостояние общества.</w:t>
      </w:r>
    </w:p>
    <w:p w:rsidR="003779D8" w:rsidRDefault="00966027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Внешняя задолженность</w:t>
      </w:r>
    </w:p>
    <w:p w:rsidR="003779D8" w:rsidRDefault="00966027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Острейшей проблемой развивающихся стран на рубеже XX и XXI вв. остается внешняя задолженность.Утечка национального дохода в виде процентов по внешней задолженности приводит к снижению темпов экономического роста, развитию инфляционных процессов и, следовательно, к усугублению долгового бремени, снижению уровня жизни значительной части населения и нарастанию социальной и политической нестабильности. Большинство развивающихся стран в 80-е и 90-е годы оказались неспособными обслуживать свои внешние долги. Падение цен на нефть, продолжавшееся вплоть до второй половины 1999 г., и на другие сырьевые ресурсы, а также отсутствие внутреннего механизма модернизации наиболее отсталых экономик сводили на нет усилия по преодолению долгового кризиса развивающихся стран. Проблема внешней задолженности усугубляется ошибками во внутренней политике развивающихся государств. </w:t>
      </w:r>
    </w:p>
    <w:p w:rsidR="003779D8" w:rsidRDefault="00966027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Политическая нестабильность в ряде стран приводит к бегству из них национального капитала, в результате значительная часть внешних долгов уходит на замещение национального капитала, покидающего эти страны, и на осуществление амбициозных проектов правящих режимов. Так, в 1970—1988 гг. африканские страны получили более 300 млрд долл. в виде иностранной помощи, но большая часть этих средств пошла на строительство аэропортов, новых столиц, офисных здании и на покупку вооружения. А ведь размер этой помощи для некоторых стран, например, Танзании, составляет от 3 до 5 размеров их ВНП. В связи с нерациональным использованием значительной доли финансовых ресурсов развивающимися странами отношение развитых стран к предоставлению финансовой помощи третьему миру стало меняться. В последние годы размеры этой помощи уменьшаются.</w:t>
      </w:r>
    </w:p>
    <w:p w:rsidR="003779D8" w:rsidRDefault="00966027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Экономимеские проблемы развивающихся стран</w:t>
      </w:r>
    </w:p>
    <w:p w:rsidR="003779D8" w:rsidRDefault="00966027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Значительную остроту на рубеже тысячелетий в развивающихся странах приобрели неконтролируемые процессы разрушения природной среды, которые могут стать не только причиной политической нестабильности во многих регионах мира, но И источником экологической и эпидемиологической опасности Для всего населения Земли.</w:t>
      </w:r>
    </w:p>
    <w:p w:rsidR="003779D8" w:rsidRDefault="00966027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Демографический взрыв в развивающихся странах, обусловленный преодолением массового голода и улучшением питания в результате приобретения национальной независимости привели к резкому росту населения в этих странах. В итоге их доля в общей численности жителей Земли выросла за последние полвека с 2/3 до 4/5 . В результате роста населения сокращается площадь сельскохозяйственных угодий на душу и интенсивность обработки земли, а это приводит к истощению плодородия почвы, сокращению продуктивности и выведению земель из сельскохозяйственною оборота, превращению их в пустыни и полупустыни. </w:t>
      </w:r>
    </w:p>
    <w:p w:rsidR="003779D8" w:rsidRDefault="00966027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Перемещение экологически опасных производств из развитых в развивающиеся страны сопровождается загрязнением почвы, воды и атмосферы. Использование угля и других низкоэффективных источников энергии приводит к повышенному содержанию углекислоты в атмосфере планеты, что является одной из важнейших причин глобального потепления климата.</w:t>
      </w:r>
    </w:p>
    <w:p w:rsidR="003779D8" w:rsidRDefault="00966027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Многие развивающиеся страны участвуют в производстве веществ, способствующих разрушению озонового слоя в атмосфере Земли.  </w:t>
      </w:r>
    </w:p>
    <w:p w:rsidR="003779D8" w:rsidRDefault="00966027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Наименее развитые страны в системе мирового хозяйства</w:t>
      </w:r>
    </w:p>
    <w:p w:rsidR="003779D8" w:rsidRDefault="00966027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Особую тревогу вызывает социально-экономическое положение наименее развитых стран (НРС) мирового сообщества. Средневзвешенный подушевой доход в этих странах не превышает 950 долл., ожидаемая продолжительность жизни — 50,6 года В группу НРС попали также страны, оказавшиеся вовлеченными в непрекращающиеся внутренние и внешние вооруженные конфликты. В 90-е годы войнами и гражданскими беспорядками были охвачены 15 наименее развитых стран, в результате чего оказалась разрушенной и без того хилая экономическая инфраструктура, нередко заброшено даже сельское хозяйство -основной источник жизни. </w:t>
      </w:r>
    </w:p>
    <w:p w:rsidR="003779D8" w:rsidRDefault="00966027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Учитывая отсутствие возможностей у этих стран самостоятельно интегрироваться в мировую экономику, МВФ, Всемирный банк, различные институты ООН, региональные банки развития, Европейский Союз, Комитет содействия развитию, объединяющий 20 индустриальных стран, и ОПЕК разработали программы финансовой стабилизации и структурной перестройки экономик африканских стран, обязывающие страны-заемщики проводить курс на развитие рыночных отношений путем либерализации экономики, сокращения госсектора и государственного вмешательства в хозяйственную деятельность, приватизации государственных предприятий и стимулирования экспортного производства при органичении импортозамещения.</w:t>
      </w:r>
    </w:p>
    <w:p w:rsidR="003779D8" w:rsidRDefault="00966027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Низкое качество человеческого капитала, быстрый прирост населения, примитивная техника (особенно в сельском хозяйстве), очень слабый частный сектор не способствуют рациональному использованию иностранных вливаний в НРС. Все это усугубляется непродуманной экономической политикой и вооруженными конфликтами.Тяжелым бременем для североафриканских стран стала внешняя задолженность (223 млрд долл.). Ее удельный вес в объеме ВВП достигает 70%, </w:t>
      </w:r>
    </w:p>
    <w:p w:rsidR="003779D8" w:rsidRDefault="00966027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Сокращение государственных расходов в соответствии со Структурными программами международных финансовых организаций усугубило и без того бедственное состояние социальной сферы. Около 50% населения — беднота, доходы которой обеспечивают лишь физическое выживание. Даже в городах за чертой бедности приживает 42% населения (против 28% во всех развивающихся странах). Страшным бичом для африканцев является СПИД. </w:t>
      </w:r>
    </w:p>
    <w:p w:rsidR="003779D8" w:rsidRDefault="00966027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Высокие темпы роста ВВП демонстрируют в последние годы Эфиопия и Мозамбик, достигнутые во многом благодаря активной поддержке МВФ и МБРР. Однако чрезвычайно низкий стартовый уровень экономическою развития, бедность природных ресурсов, периодические неурожаи, неустойчивый внешний спрос на сельскохозяйственное сырье, политическая нестабильность не позволяют рассчитывать на серьезный успех в ближайшей перспективе.</w:t>
      </w:r>
    </w:p>
    <w:p w:rsidR="003779D8" w:rsidRDefault="00966027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И все же в последние 15 лет около десятка НРС сумели избежать серьезных внутренних конфликтов, разумно ориентировать торговые связи с другими государствами, определить ассортимент своего экспорта. Не допуская высоких темпов инфляции, они начали создавать условия для притока финансовых ресурсов не только за счет официальной помощи, но и за счет переводов своих граждан, работающих за границей, и даже прямых иностранных инвестиций. Таким образом, даже самые отсталые регионы мирового сообщества постепенно начинают преодолевать, казалось бы, безнадежную отсталость.</w:t>
      </w:r>
    </w:p>
    <w:p w:rsidR="003779D8" w:rsidRDefault="003779D8">
      <w:pPr>
        <w:widowControl w:val="0"/>
        <w:spacing w:before="120"/>
        <w:ind w:firstLine="590"/>
        <w:jc w:val="both"/>
        <w:rPr>
          <w:color w:val="000000"/>
        </w:rPr>
      </w:pPr>
      <w:bookmarkStart w:id="0" w:name="_GoBack"/>
      <w:bookmarkEnd w:id="0"/>
    </w:p>
    <w:sectPr w:rsidR="003779D8">
      <w:pgSz w:w="11906" w:h="16838"/>
      <w:pgMar w:top="1134" w:right="1134" w:bottom="1134" w:left="1134" w:header="1440" w:footer="1440" w:gutter="0"/>
      <w:cols w:sep="1" w:space="284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BA6B76"/>
    <w:multiLevelType w:val="hybridMultilevel"/>
    <w:tmpl w:val="AEC2B77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738344AA"/>
    <w:multiLevelType w:val="hybridMultilevel"/>
    <w:tmpl w:val="FBF8FCB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71"/>
  <w:displayVerticalDrawingGridEvery w:val="2"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66027"/>
    <w:rsid w:val="003779D8"/>
    <w:rsid w:val="00966027"/>
    <w:rsid w:val="00B95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6C9A247-AAA4-4BF5-889E-F5268A291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paragraph" w:styleId="2">
    <w:name w:val="Body Text 2"/>
    <w:basedOn w:val="a"/>
    <w:link w:val="20"/>
    <w:uiPriority w:val="99"/>
    <w:pPr>
      <w:ind w:right="-545"/>
    </w:pPr>
  </w:style>
  <w:style w:type="character" w:customStyle="1" w:styleId="20">
    <w:name w:val="Основной текст 2 Знак"/>
    <w:basedOn w:val="a0"/>
    <w:link w:val="2"/>
    <w:uiPriority w:val="99"/>
    <w:semiHidden/>
    <w:rPr>
      <w:rFonts w:ascii="Times New Roman" w:hAnsi="Times New Roman" w:cs="Times New Roman"/>
      <w:sz w:val="24"/>
      <w:szCs w:val="24"/>
      <w:lang w:val="ru-RU" w:eastAsia="ru-RU"/>
    </w:rPr>
  </w:style>
  <w:style w:type="paragraph" w:styleId="a3">
    <w:name w:val="Body Text"/>
    <w:basedOn w:val="a"/>
    <w:link w:val="a4"/>
    <w:uiPriority w:val="99"/>
    <w:pPr>
      <w:ind w:right="-365"/>
    </w:pPr>
  </w:style>
  <w:style w:type="character" w:customStyle="1" w:styleId="a4">
    <w:name w:val="Основной текст Знак"/>
    <w:basedOn w:val="a0"/>
    <w:link w:val="a3"/>
    <w:uiPriority w:val="99"/>
    <w:semiHidden/>
    <w:rPr>
      <w:rFonts w:ascii="Times New Roman" w:hAnsi="Times New Roman" w:cs="Times New Roman"/>
      <w:sz w:val="24"/>
      <w:szCs w:val="24"/>
      <w:lang w:val="ru-RU" w:eastAsia="ru-RU"/>
    </w:rPr>
  </w:style>
  <w:style w:type="paragraph" w:styleId="3">
    <w:name w:val="Body Text 3"/>
    <w:basedOn w:val="a"/>
    <w:link w:val="30"/>
    <w:uiPriority w:val="99"/>
    <w:pPr>
      <w:jc w:val="both"/>
    </w:pPr>
  </w:style>
  <w:style w:type="character" w:customStyle="1" w:styleId="30">
    <w:name w:val="Основной текст 3 Знак"/>
    <w:basedOn w:val="a0"/>
    <w:link w:val="3"/>
    <w:uiPriority w:val="99"/>
    <w:semiHidden/>
    <w:rPr>
      <w:rFonts w:ascii="Times New Roman" w:hAnsi="Times New Roman" w:cs="Times New Roman"/>
      <w:sz w:val="16"/>
      <w:szCs w:val="16"/>
      <w:lang w:val="ru-RU" w:eastAsia="ru-RU"/>
    </w:rPr>
  </w:style>
  <w:style w:type="character" w:styleId="a5">
    <w:name w:val="Hyperlink"/>
    <w:basedOn w:val="a0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11773</Words>
  <Characters>6711</Characters>
  <Application>Microsoft Office Word</Application>
  <DocSecurity>0</DocSecurity>
  <Lines>55</Lines>
  <Paragraphs>36</Paragraphs>
  <ScaleCrop>false</ScaleCrop>
  <Company>13</Company>
  <LinksUpToDate>false</LinksUpToDate>
  <CharactersWithSpaces>18448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Новые индустриальные страны (НИС)</dc:title>
  <dc:subject/>
  <dc:creator>Чистяков С.В.</dc:creator>
  <cp:keywords/>
  <dc:description/>
  <cp:lastModifiedBy>admin</cp:lastModifiedBy>
  <cp:revision>2</cp:revision>
  <dcterms:created xsi:type="dcterms:W3CDTF">2014-01-26T20:43:00Z</dcterms:created>
  <dcterms:modified xsi:type="dcterms:W3CDTF">2014-01-26T20:43:00Z</dcterms:modified>
</cp:coreProperties>
</file>