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73" w:rsidRPr="00BE7865" w:rsidRDefault="00E43773" w:rsidP="00E43773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Общие требования к производственному освещению</w:t>
      </w:r>
    </w:p>
    <w:p w:rsidR="00E43773" w:rsidRPr="00BE7865" w:rsidRDefault="00E43773" w:rsidP="00E43773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Основные понятия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Видимая часть оптических излучений лежит в диапазоне длин волн от 380 до 760 нм. К основным понятиям, характеризующим свет, относятся: сила света, световой поток, освещенность и яркость.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Сила света (I) - пространственная плотность светового потока, устанавливаемая по специальному эталону, называется канделой (кд).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Световой поток (Ф) - поток лучистой энергии, оцениваемый глазом по световому ощущению. Единицей его измерения служит люмен (лм) - световой поток, созданный источником силой в одну канделу и помещенный в вершину телесного угла в один стерадиан.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Так как распределение светового потока реальных источников в пространстве неравномерно, то для их характеристики используют поверхностную плотность светового потока - освещенность.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Освещенность (Е) определяется отношением светового потока, падающего на поверхность, к ее площади: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Е = Ф/S, (4)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где Ф - световой поток, лм;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S - площадь освещаемой поверхности, м2.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Освещенность измеряется в люксах (лк). Освещенность не зависит от свойств поверхности, ее формы, цвета и т.п.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Яркость (L) - величина, равная отношению силы света, излучаемого элементом поверхности в данном направлении, к площади проекции этой поверхности на плоскость, перпендикулярную к тому же направлению. Её определяют по формуле: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L = I/(S * cosa ), (5)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где a - угол к нормали светящейся поверхности.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Способность глаза определять величину и форму предмета называют остротой зрения, а предельные размеры объекта, которые глаз воспринимает под наименьшим углом зрения, характеризуют разрешающую способность глаз.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Утомление глаз вызывает ослабление остроты зрения и влияет на способность к аккомодации и адаптации.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Аккомодацией называют приспособление глаза к ясному видению предметов, находящихся на разных расстояниях от наблюдателя.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Адаптация - приспособляемость глаз к различным степеням освещенности.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Свойство ярких поверхностей или источников света, вызывающих ослепление, называют блескостью, а результат нарушения зрительных функций глаз - слепимостью.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Естественное освещение – освещение помещений светом неба (прямым или отражённым), проникающим через световые проёмы в наружных ограждающих конструкциях.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Боковое естественное освещение – естественное освещение помещения через световые проёмы в наружных стенах.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Верхнее естественное освещение – естественное освещение помещения через фонари, световые проёмы в стенах в местах перепада высот здания.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Дежурное освещение – освещение в нерабочее время.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Комбинированное освещение – освещение, при котором к общему освещению добавляется местное.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Совмещённое освещение – освещение, при котором недостаточное по нормам естественное освещение дополняется искусственным.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Эвакуационное освещение – освещение для эвакуации людей из помещения при аварийном отключении нормального освещения.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Световой климат – совокупность условий естественного освещения в той или иной местности за период более десяти лет.</w:t>
      </w:r>
    </w:p>
    <w:p w:rsidR="00E43773" w:rsidRPr="00BE7865" w:rsidRDefault="00E43773" w:rsidP="00E43773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Нормирование производственного освещения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Человек различает окружающие предметы благодаря тому, что они имеют разную яркость. При плохом освещении он быстро устает и работает менее продуктивно. Плохое освещение может привести к профессиональному заболеванию (близорукости) и, наоборот, хорошее - действует благоприятно на человека. На рабочих местах, где требуется напряженная зрительная работа, улучшение освещения может поднять производительность труда на 5-10%.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Основные гигиенические требования к производственному освещению заключаются в следующем: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1) освещенность рабочих поверхностей должна отвечать санитарно-гигиеническим нормам освещенности для определенных видов работ;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2) освещенность должна быть равномерной, без теней, бликов и блескостей;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3) разница яркостей не должна вызывать ослепления зрения и частой переадаптации;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4) прямой свет сильных источников должен быть конструктивно закрыт и не попадать в глаза работающим;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5) устройство светильников должно быть безопасным для работающих и соответствовать требованиям электро- и пожаробезопасности.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Естественное освещение нормируется с помощью коэффициента естественной освещенности (КЕО), его значения для зданий: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КЕО = Евн/Енар * 100%,</w:t>
      </w:r>
      <w:r>
        <w:t xml:space="preserve"> </w:t>
      </w:r>
      <w:r w:rsidRPr="007653FD">
        <w:t xml:space="preserve">(6)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где Евн - освещенность оцениваемой точки внутри помещения лучами, проникающими через окна;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Енар - освещенность той же точки наружным светом, если бы не было стен и потолка.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Величина коэффициента КЕО для зданий, располагаемых в разных поясах светового климата, определяется “СНиП 23-05-95. Естественное и искусственное освещение”.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Естественное освещение подразделяется на боковое, верхнее и комбинированное (сочетание верхнего и бокового освещения). Расстановку оборудования следует производить с учетом расположения световых проемов, добиваясь максимальной освещенности панелей, пультов, клавиатур ПЭВМ и другой оргтехники.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Искусственное освещение подразделяется на общее, местное и комбинированное (местное и общее).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Система общего освещения дает равномерный свет всему помещению. При комбинированном освещении на долю общего освещения приходится примерно 10%, а наибольший свет дают лампы местного освещения.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Искусственное освещение делится на три вида: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а) рабочее;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б) аварийное (обеспечивает не менее 10% от нормы освещённости);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в) охранное и дежурное.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Аварийное освещение разделяется на освещение безопасности и эвакуационное. Освещение безопасности следует предусматривать в случаях, если отключение рабочего освещения и связанное с этим нарушение обслуживания оборудования и механизмов может вызвать: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взрыв, пожар, отравление людей;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длительное нарушение технологического процесса;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нарушение работы таких объектов, как электрические станции, узлы радио- и телевизионных передач и связи, установки вентиляции и кондиционирования воздуха для производственных помещений и т.п.;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нарушение режима детских учреждений.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Эвакуационное освещение в помещениях или в местах производства работ вне зданий следует предусматривать: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местах, опасных для прохода людей;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проходах и на лестницах, служащих для эвакуации людей, при числе эвакуирующихся более 50 человек;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по основным проходам производственных помещений, в которых работают более 50 человек;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лестничных клетках жилых зданий высотой 6 этажей и более;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производственных помещениях с постоянно работающими в них людьми, где выход людей из помещения при аварийном отключении нормального освещения связан с опасностью травматизма из-за продолжения работы производственного оборудования;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помещениях общественных и вспомогательных зданий промышленных предприятий, если в помещениях могут одновременно находиться более 100 человек;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· в производственных помещениях без естественного света.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Светильники освещения безопасности в помещениях могут использоваться для эвакуационного освещения. Для аварийного освещения следует применять лампы накаливания, люминесцентные лампы и разрядные лампы высокого давления.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Возможно специальное освещение, например в фотолабораториях, при подсветки копировальных столов и т.п.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Нормы искусственного освещения разработаны с учетом точности зрительной работы, размера рассматриваемых деталей и дополнены оценкой фона и контрастности изображения деталей.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 xml:space="preserve">Для производственных помещений, в которых выполняются работы наивысшей точности (размер объекта различения менее 0,15 мм – I разряд), очень высокой точности (объект различения от 0,15 до 0,30 мм – II разряд) и высокой точности (размер объекта различения от 0,30 до 0,50 мм - III разряд) следует предусматривать совмещённое освещение. 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При аттестации рабочих мест по параметрам освещённости используется государственный стандарт “ГОСТ 24940-96. Здания и сооружения. Методы измерения освещённости”.</w:t>
      </w:r>
    </w:p>
    <w:p w:rsidR="00E43773" w:rsidRPr="007653FD" w:rsidRDefault="00E43773" w:rsidP="00E43773">
      <w:pPr>
        <w:spacing w:before="120"/>
        <w:ind w:firstLine="567"/>
        <w:jc w:val="both"/>
      </w:pPr>
      <w:r w:rsidRPr="007653FD">
        <w:t>Для гигиенической оценки освещения жилых и общественных зданий применяются санитарные правила и нормы «СанПиН 2.2.1/2.1.1.1278-03. Гигиенические требования к естественному, искусственному и совмещенному освещению жилых и общественных зданий».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773"/>
    <w:rsid w:val="00051FB8"/>
    <w:rsid w:val="00095BA6"/>
    <w:rsid w:val="001D54AE"/>
    <w:rsid w:val="00210DB3"/>
    <w:rsid w:val="0031418A"/>
    <w:rsid w:val="00350B15"/>
    <w:rsid w:val="00377A3D"/>
    <w:rsid w:val="0052086C"/>
    <w:rsid w:val="005A2562"/>
    <w:rsid w:val="00755964"/>
    <w:rsid w:val="007653FD"/>
    <w:rsid w:val="008C19D7"/>
    <w:rsid w:val="00A44D32"/>
    <w:rsid w:val="00BE7865"/>
    <w:rsid w:val="00DD2B23"/>
    <w:rsid w:val="00E12572"/>
    <w:rsid w:val="00E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81AAF1-BB71-407F-9165-BEF655AC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3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6700</Characters>
  <Application>Microsoft Office Word</Application>
  <DocSecurity>0</DocSecurity>
  <Lines>55</Lines>
  <Paragraphs>15</Paragraphs>
  <ScaleCrop>false</ScaleCrop>
  <Company>Home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требования к производственному освещению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