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7A" w:rsidRPr="00F62604" w:rsidRDefault="00985E7A" w:rsidP="00985E7A">
      <w:pPr>
        <w:spacing w:before="120"/>
        <w:jc w:val="center"/>
        <w:rPr>
          <w:b/>
          <w:bCs/>
          <w:sz w:val="32"/>
          <w:szCs w:val="32"/>
        </w:rPr>
      </w:pPr>
      <w:bookmarkStart w:id="0" w:name="_Toc9677877"/>
      <w:bookmarkStart w:id="1" w:name="_Toc9679632"/>
      <w:r w:rsidRPr="00F62604">
        <w:rPr>
          <w:b/>
          <w:bCs/>
          <w:sz w:val="32"/>
          <w:szCs w:val="32"/>
        </w:rPr>
        <w:t>Вязкость газов в вакуумной технике</w:t>
      </w:r>
      <w:bookmarkEnd w:id="0"/>
      <w:bookmarkEnd w:id="1"/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При перемещение твердого тела со скоростью </w:t>
      </w:r>
      <w:r w:rsidR="009E3E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fillcolor="window">
            <v:imagedata r:id="rId4" o:title=""/>
          </v:shape>
        </w:pict>
      </w:r>
      <w:r w:rsidRPr="00F62604">
        <w:t xml:space="preserve"> за счет передачи</w:t>
      </w:r>
      <w:r>
        <w:t xml:space="preserve"> </w:t>
      </w:r>
      <w:r w:rsidRPr="00F62604">
        <w:t>количества движения молекулам газа возникает сила внутреннего трения</w:t>
      </w:r>
      <w:r>
        <w:t xml:space="preserve"> 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В области низкого вакуума весь газ между подвижной 2 и неподвижной 1 пластинами ( рис 1 ) можно разделить на слои толщиной </w:t>
      </w:r>
      <w:r w:rsidR="009E3E82">
        <w:pict>
          <v:shape id="_x0000_i1026" type="#_x0000_t75" style="width:11.25pt;height:12.75pt" fillcolor="window">
            <v:imagedata r:id="rId5" o:title=""/>
          </v:shape>
        </w:pict>
      </w:r>
      <w:r w:rsidRPr="00F62604">
        <w:t xml:space="preserve"> , где</w:t>
      </w:r>
      <w:r>
        <w:t xml:space="preserve"> </w:t>
      </w:r>
      <w:r w:rsidR="009E3E82">
        <w:pict>
          <v:shape id="_x0000_i1027" type="#_x0000_t75" style="width:11.25pt;height:12.75pt" fillcolor="window">
            <v:imagedata r:id="rId6" o:title=""/>
          </v:shape>
        </w:pict>
      </w:r>
      <w:r w:rsidRPr="00F62604">
        <w:t xml:space="preserve"> – средняя длина свободного пути . Скорость движения каждого</w:t>
      </w:r>
      <w:r>
        <w:t xml:space="preserve"> </w:t>
      </w:r>
      <w:r w:rsidRPr="00F62604">
        <w:t xml:space="preserve">слоя различна и линейно зависит от расстояния между поверхностями переноса . В плоскости </w:t>
      </w:r>
      <w:r w:rsidR="009E3E82">
        <w:pict>
          <v:shape id="_x0000_i1028" type="#_x0000_t75" style="width:12.75pt;height:18pt" fillcolor="window">
            <v:imagedata r:id="rId7" o:title=""/>
          </v:shape>
        </w:pict>
      </w:r>
      <w:r w:rsidRPr="00F62604">
        <w:t xml:space="preserve"> происходят столкновения молекул , вылетевших из плоскостей </w:t>
      </w:r>
      <w:r w:rsidR="009E3E82">
        <w:pict>
          <v:shape id="_x0000_i1029" type="#_x0000_t75" style="width:12.75pt;height:14.25pt" fillcolor="window">
            <v:imagedata r:id="rId8" o:title=""/>
          </v:shape>
        </w:pict>
      </w:r>
      <w:r w:rsidRPr="00F62604">
        <w:t xml:space="preserve"> и </w:t>
      </w:r>
      <w:r w:rsidR="009E3E82">
        <w:pict>
          <v:shape id="_x0000_i1030" type="#_x0000_t75" style="width:14.25pt;height:14.25pt" fillcolor="window">
            <v:imagedata r:id="rId9" o:title=""/>
          </v:shape>
        </w:pict>
      </w:r>
      <w:r w:rsidRPr="00F62604">
        <w:t xml:space="preserve"> . Причиной возникновения силы вязкостного трения</w:t>
      </w:r>
      <w:r>
        <w:t xml:space="preserve"> </w:t>
      </w:r>
      <w:r w:rsidRPr="00F62604">
        <w:t>является , то что движущиеся как единое целое отдельные слои газа имеют разную скорость , вследствие чего происходит перенос количества движения из одного слоя</w:t>
      </w:r>
      <w:r>
        <w:t xml:space="preserve"> </w:t>
      </w:r>
      <w:r w:rsidRPr="00F62604">
        <w:t>в другой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Изменение количества движения в результате оного столкновения равно </w:t>
      </w:r>
      <w:r w:rsidR="009E3E82">
        <w:pict>
          <v:shape id="_x0000_i1031" type="#_x0000_t75" style="width:45.75pt;height:30.75pt" fillcolor="window">
            <v:imagedata r:id="rId10" o:title=""/>
          </v:shape>
        </w:pict>
      </w:r>
      <w:r w:rsidRPr="00F62604">
        <w:t xml:space="preserve"> . Принимая , что в среднем в отрицательном и положительном направление оси </w:t>
      </w:r>
      <w:r w:rsidR="009E3E82">
        <w:pict>
          <v:shape id="_x0000_i1032" type="#_x0000_t75" style="width:9.75pt;height:11.25pt" fillcolor="window">
            <v:imagedata r:id="rId11" o:title=""/>
          </v:shape>
        </w:pict>
      </w:r>
      <w:r>
        <w:t xml:space="preserve"> </w:t>
      </w:r>
      <w:r w:rsidRPr="00F62604">
        <w:t xml:space="preserve">в единицу времени единицу площади в плоскости </w:t>
      </w:r>
      <w:r w:rsidR="009E3E82">
        <w:pict>
          <v:shape id="_x0000_i1033" type="#_x0000_t75" style="width:12.75pt;height:18pt" fillcolor="window">
            <v:imagedata r:id="rId7" o:title=""/>
          </v:shape>
        </w:pict>
      </w:r>
      <w:r>
        <w:t xml:space="preserve"> </w:t>
      </w:r>
      <w:r w:rsidRPr="00F62604">
        <w:t xml:space="preserve">пересекают </w:t>
      </w:r>
      <w:r w:rsidR="009E3E82">
        <w:pict>
          <v:shape id="_x0000_i1034" type="#_x0000_t75" style="width:32.25pt;height:18.75pt" fillcolor="window">
            <v:imagedata r:id="rId12" o:title=""/>
          </v:shape>
        </w:pict>
      </w:r>
      <w:r w:rsidRPr="00F62604">
        <w:t xml:space="preserve"> молекул получим общее изменение количества движения в единицу времени для плоскости </w:t>
      </w:r>
      <w:r w:rsidR="009E3E82">
        <w:pict>
          <v:shape id="_x0000_i1035" type="#_x0000_t75" style="width:12.75pt;height:18pt" fillcolor="window">
            <v:imagedata r:id="rId13" o:title=""/>
          </v:shape>
        </w:pict>
      </w:r>
      <w:r w:rsidRPr="00F62604">
        <w:t xml:space="preserve"> 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36" type="#_x0000_t75" style="width:62.25pt;height:33pt" fillcolor="window">
            <v:imagedata r:id="rId14" o:title=""/>
          </v:shape>
        </w:pict>
      </w:r>
      <w:r w:rsidR="00985E7A">
        <w:t xml:space="preserve"> </w:t>
      </w:r>
      <w:r w:rsidR="00985E7A" w:rsidRPr="00F62604">
        <w:t>( 1 )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>Сила трения по всей поверхности переноса , согласно второму закону Ньютона , определяется общим изменение количества движения в единицу времени 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37" type="#_x0000_t75" style="width:174pt;height:30.75pt" fillcolor="window">
            <v:imagedata r:id="rId15" o:title=""/>
          </v:shape>
        </w:pict>
      </w:r>
      <w:r w:rsidR="00985E7A" w:rsidRPr="00F62604">
        <w:t xml:space="preserve"> ( 2 ),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где </w:t>
      </w:r>
      <w:r w:rsidR="009E3E82">
        <w:pict>
          <v:shape id="_x0000_i1038" type="#_x0000_t75" style="width:12pt;height:12.75pt" fillcolor="window">
            <v:imagedata r:id="rId16" o:title=""/>
          </v:shape>
        </w:pict>
      </w:r>
      <w:r w:rsidRPr="00F62604">
        <w:t xml:space="preserve"> – площадь поверхности переноса</w:t>
      </w:r>
      <w:r>
        <w:t xml:space="preserve"> </w:t>
      </w:r>
      <w:r w:rsidRPr="00F62604">
        <w:t xml:space="preserve">; </w:t>
      </w:r>
      <w:r w:rsidR="009E3E82">
        <w:pict>
          <v:shape id="_x0000_i1039" type="#_x0000_t75" style="width:9.75pt;height:12.75pt" fillcolor="window">
            <v:imagedata r:id="rId17" o:title=""/>
          </v:shape>
        </w:pict>
      </w:r>
      <w:r w:rsidRPr="00F62604">
        <w:t xml:space="preserve"> – коэффициент динамической вязкости газа</w:t>
      </w:r>
      <w:r>
        <w:t xml:space="preserve"> </w:t>
      </w:r>
      <w:r w:rsidRPr="00F62604">
        <w:t>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40" type="#_x0000_t75" style="width:108pt;height:33pt" fillcolor="window">
            <v:imagedata r:id="rId18" o:title=""/>
          </v:shape>
        </w:pict>
      </w:r>
      <w:r w:rsidR="00985E7A" w:rsidRPr="00F62604">
        <w:t xml:space="preserve"> ( 3 )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Отношение </w:t>
      </w:r>
      <w:r w:rsidR="009E3E82">
        <w:pict>
          <v:shape id="_x0000_i1041" type="#_x0000_t75" style="width:14.25pt;height:33pt" fillcolor="window">
            <v:imagedata r:id="rId19" o:title=""/>
          </v:shape>
        </w:pict>
      </w:r>
      <w:r w:rsidRPr="00F62604">
        <w:t xml:space="preserve"> называют</w:t>
      </w:r>
      <w:r>
        <w:t xml:space="preserve"> </w:t>
      </w:r>
      <w:r w:rsidRPr="00F62604">
        <w:t>коэффициентом кинематической вязкости</w:t>
      </w:r>
      <w:r>
        <w:t xml:space="preserve"> 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Более строгий вывод , в котором учтен закон распределения скоростей и длин свободного пути молекул , дает 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42" type="#_x0000_t75" style="width:84pt;height:20.25pt" fillcolor="window">
            <v:imagedata r:id="rId20" o:title=""/>
          </v:shape>
        </w:pict>
      </w:r>
      <w:r w:rsidR="00985E7A" w:rsidRPr="00F62604">
        <w:t xml:space="preserve"> ,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что мало отличается от приближенного значения 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Если в ( 3 ) подставить значения зависящих от давления переменных </w:t>
      </w:r>
      <w:r w:rsidR="009E3E82">
        <w:pict>
          <v:shape id="_x0000_i1043" type="#_x0000_t75" style="width:9.75pt;height:11.25pt" fillcolor="window">
            <v:imagedata r:id="rId21" o:title=""/>
          </v:shape>
        </w:pict>
      </w:r>
      <w:r w:rsidRPr="00F62604">
        <w:t xml:space="preserve"> , то 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44" type="#_x0000_t75" style="width:60pt;height:33pt" fillcolor="window">
            <v:imagedata r:id="rId22" o:title=""/>
          </v:shape>
        </w:pict>
      </w:r>
      <w:r w:rsidR="00985E7A" w:rsidRPr="00F62604">
        <w:t xml:space="preserve"> . ( 7 ) </w:t>
      </w:r>
    </w:p>
    <w:p w:rsidR="00985E7A" w:rsidRDefault="00985E7A" w:rsidP="00985E7A">
      <w:pPr>
        <w:spacing w:before="120"/>
        <w:ind w:firstLine="567"/>
        <w:jc w:val="both"/>
      </w:pPr>
      <w:r w:rsidRPr="00F62604">
        <w:t>Согласно полученному выражению , коэффициент динамической вязкости при низком вакууме не зависит от давления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Температурную зависимость коэффициента вязкости можно определить . если подставить в ( 3 ) </w:t>
      </w:r>
      <w:r w:rsidR="009E3E82">
        <w:pict>
          <v:shape id="_x0000_i1045" type="#_x0000_t75" style="width:18pt;height:18.75pt" fillcolor="window">
            <v:imagedata r:id="rId23" o:title=""/>
          </v:shape>
        </w:pict>
      </w:r>
      <w:r w:rsidRPr="00F62604">
        <w:t xml:space="preserve"> и </w:t>
      </w:r>
      <w:r w:rsidR="009E3E82">
        <w:pict>
          <v:shape id="_x0000_i1046" type="#_x0000_t75" style="width:11.25pt;height:12.75pt" fillcolor="window">
            <v:imagedata r:id="rId24" o:title=""/>
          </v:shape>
        </w:pict>
      </w:r>
      <w:r w:rsidRPr="00F62604">
        <w:t xml:space="preserve"> соответственно из формул :</w:t>
      </w:r>
    </w:p>
    <w:p w:rsidR="00985E7A" w:rsidRPr="00F62604" w:rsidRDefault="009E3E82" w:rsidP="00985E7A">
      <w:pPr>
        <w:spacing w:before="120"/>
        <w:ind w:firstLine="567"/>
        <w:jc w:val="both"/>
      </w:pPr>
      <w:r>
        <w:pict>
          <v:shape id="_x0000_i1047" type="#_x0000_t75" style="width:108pt;height:38.25pt" fillcolor="window">
            <v:imagedata r:id="rId25" o:title=""/>
          </v:shape>
        </w:pict>
      </w:r>
      <w:r w:rsidR="00985E7A" w:rsidRPr="00F62604">
        <w:t xml:space="preserve"> ( 6 )</w:t>
      </w:r>
    </w:p>
    <w:p w:rsidR="00985E7A" w:rsidRPr="00F62604" w:rsidRDefault="00985E7A" w:rsidP="00985E7A">
      <w:pPr>
        <w:spacing w:before="120"/>
        <w:ind w:firstLine="567"/>
        <w:jc w:val="both"/>
      </w:pPr>
      <w:r w:rsidRPr="00F62604">
        <w:t>и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48" type="#_x0000_t75" style="width:105pt;height:39pt" fillcolor="window">
            <v:imagedata r:id="rId26" o:title=""/>
          </v:shape>
        </w:pict>
      </w:r>
    </w:p>
    <w:p w:rsidR="00985E7A" w:rsidRDefault="00985E7A" w:rsidP="00985E7A">
      <w:pPr>
        <w:spacing w:before="120"/>
        <w:ind w:firstLine="567"/>
        <w:jc w:val="both"/>
      </w:pPr>
      <w:r w:rsidRPr="00F62604">
        <w:t>в формулу ( 3 ) . Отсюда имеем 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49" type="#_x0000_t75" style="width:86.25pt;height:51.75pt" fillcolor="window">
            <v:imagedata r:id="rId27" o:title=""/>
          </v:shape>
        </w:pict>
      </w:r>
      <w:r w:rsidR="00985E7A">
        <w:t xml:space="preserve"> </w:t>
      </w:r>
      <w:r w:rsidR="00985E7A" w:rsidRPr="00F62604">
        <w:t>( 4 )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В соответствие с ( 4 ) </w:t>
      </w:r>
      <w:r w:rsidR="009E3E82">
        <w:pict>
          <v:shape id="_x0000_i1050" type="#_x0000_t75" style="width:9.75pt;height:12.75pt" fillcolor="window">
            <v:imagedata r:id="rId17" o:title=""/>
          </v:shape>
        </w:pict>
      </w:r>
      <w:r w:rsidRPr="00F62604">
        <w:t xml:space="preserve"> зависит от</w:t>
      </w:r>
      <w:r>
        <w:t xml:space="preserve"> </w:t>
      </w:r>
      <w:r w:rsidR="009E3E82">
        <w:pict>
          <v:shape id="_x0000_i1051" type="#_x0000_t75" style="width:15.75pt;height:15pt" fillcolor="window">
            <v:imagedata r:id="rId28" o:title=""/>
          </v:shape>
        </w:pict>
      </w:r>
      <w:r>
        <w:t xml:space="preserve"> </w:t>
      </w:r>
      <w:r w:rsidRPr="00F62604">
        <w:t xml:space="preserve">, где </w:t>
      </w:r>
      <w:r w:rsidR="009E3E82">
        <w:pict>
          <v:shape id="_x0000_i1052" type="#_x0000_t75" style="width:9.75pt;height:11.25pt" fillcolor="window">
            <v:imagedata r:id="rId29" o:title=""/>
          </v:shape>
        </w:pict>
      </w:r>
      <w:r w:rsidRPr="00F62604">
        <w:t xml:space="preserve"> изменяется от ½ при высоких температурах </w:t>
      </w:r>
      <w:r w:rsidR="009E3E82">
        <w:pict>
          <v:shape id="_x0000_i1053" type="#_x0000_t75" style="width:39.75pt;height:15.75pt" fillcolor="window">
            <v:imagedata r:id="rId30" o:title=""/>
          </v:shape>
        </w:pict>
      </w:r>
      <w:r w:rsidRPr="00F62604">
        <w:t xml:space="preserve"> до </w:t>
      </w:r>
      <w:r w:rsidR="009E3E82">
        <w:pict>
          <v:shape id="_x0000_i1054" type="#_x0000_t75" style="width:9.75pt;height:18pt" fillcolor="window">
            <v:imagedata r:id="rId31" o:title=""/>
          </v:shape>
        </w:pict>
      </w:r>
      <w:r w:rsidRPr="00F62604">
        <w:t xml:space="preserve"> при низких температурах при </w:t>
      </w:r>
      <w:r w:rsidR="009E3E82">
        <w:pict>
          <v:shape id="_x0000_i1055" type="#_x0000_t75" style="width:30.75pt;height:14.25pt" fillcolor="window">
            <v:imagedata r:id="rId32" o:title=""/>
          </v:shape>
        </w:pict>
      </w:r>
      <w:r w:rsidRPr="00F62604">
        <w:t xml:space="preserve"> . Во всех случаях коэффициент динамической вязкости увеличивается при повышение температуры газа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Значения коэффициентов динамической вязкости для некоторых газов при </w:t>
      </w:r>
      <w:r w:rsidR="009E3E82">
        <w:pict>
          <v:shape id="_x0000_i1056" type="#_x0000_t75" style="width:51pt;height:14.25pt" fillcolor="window">
            <v:imagedata r:id="rId33" o:title=""/>
          </v:shape>
        </w:pict>
      </w:r>
      <w:r w:rsidRPr="00F62604">
        <w:t xml:space="preserve"> даны в таблице .</w:t>
      </w:r>
    </w:p>
    <w:p w:rsidR="00985E7A" w:rsidRPr="00F62604" w:rsidRDefault="00985E7A" w:rsidP="00985E7A">
      <w:pPr>
        <w:spacing w:before="120"/>
        <w:ind w:firstLine="567"/>
        <w:jc w:val="both"/>
      </w:pPr>
      <w:bookmarkStart w:id="2" w:name="_Toc9677878"/>
      <w:bookmarkStart w:id="3" w:name="_Toc9679633"/>
      <w:r w:rsidRPr="00F62604">
        <w:t>ТАБЛИЦА</w:t>
      </w:r>
      <w:r>
        <w:t xml:space="preserve"> </w:t>
      </w:r>
      <w:r w:rsidRPr="00F62604">
        <w:t>1</w:t>
      </w:r>
      <w:bookmarkEnd w:id="2"/>
      <w:bookmarkEnd w:id="3"/>
      <w:r w:rsidRPr="00F62604">
        <w:t xml:space="preserve"> </w:t>
      </w:r>
    </w:p>
    <w:p w:rsidR="00985E7A" w:rsidRPr="00F62604" w:rsidRDefault="00985E7A" w:rsidP="00985E7A">
      <w:pPr>
        <w:spacing w:before="120"/>
        <w:ind w:firstLine="567"/>
        <w:jc w:val="both"/>
      </w:pPr>
    </w:p>
    <w:tbl>
      <w:tblPr>
        <w:tblW w:w="5000" w:type="pct"/>
        <w:tblInd w:w="-153" w:type="dxa"/>
        <w:tblBorders>
          <w:top w:val="single" w:sz="12" w:space="0" w:color="000000"/>
          <w:bottom w:val="single" w:sz="12" w:space="0" w:color="000000"/>
        </w:tblBorders>
        <w:tblLook w:val="00A0" w:firstRow="1" w:lastRow="0" w:firstColumn="1" w:lastColumn="0" w:noHBand="0" w:noVBand="0"/>
      </w:tblPr>
      <w:tblGrid>
        <w:gridCol w:w="910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907"/>
      </w:tblGrid>
      <w:tr w:rsidR="00985E7A" w:rsidRPr="00F62604" w:rsidTr="008F11A3">
        <w:trPr>
          <w:cantSplit/>
          <w:trHeight w:val="445"/>
        </w:trPr>
        <w:tc>
          <w:tcPr>
            <w:tcW w:w="5000" w:type="pct"/>
            <w:gridSpan w:val="11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solid" w:color="800080" w:fill="FFFFFF"/>
            <w:vAlign w:val="center"/>
          </w:tcPr>
          <w:p w:rsidR="00985E7A" w:rsidRPr="00F62604" w:rsidRDefault="00985E7A" w:rsidP="008F11A3">
            <w:r w:rsidRPr="00F62604">
              <w:t>Коэффициенты динамической вязкости</w:t>
            </w:r>
          </w:p>
        </w:tc>
      </w:tr>
      <w:tr w:rsidR="00985E7A" w:rsidRPr="00F62604" w:rsidTr="008F11A3">
        <w:trPr>
          <w:trHeight w:val="512"/>
        </w:trPr>
        <w:tc>
          <w:tcPr>
            <w:tcW w:w="45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985E7A" w:rsidRPr="00F62604" w:rsidRDefault="00985E7A" w:rsidP="008F11A3">
            <w:r w:rsidRPr="00F62604">
              <w:t>Газ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57" type="#_x0000_t75" style="width:18pt;height:17.25pt" fillcolor="window">
                  <v:imagedata r:id="rId34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58" type="#_x0000_t75" style="width:18pt;height:14.25pt" fillcolor="window">
                  <v:imagedata r:id="rId35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59" type="#_x0000_t75" style="width:24.75pt;height:17.25pt" fillcolor="window">
                  <v:imagedata r:id="rId36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60" type="#_x0000_t75" style="width:17.25pt;height:12.75pt" fillcolor="window">
                  <v:imagedata r:id="rId37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61" type="#_x0000_t75" style="width:18pt;height:14.25pt" fillcolor="window">
                  <v:imagedata r:id="rId38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62" type="#_x0000_t75" style="width:18pt;height:14.25pt" fillcolor="window">
                  <v:imagedata r:id="rId39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63" type="#_x0000_t75" style="width:15.75pt;height:17.25pt" fillcolor="window">
                  <v:imagedata r:id="rId40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64" type="#_x0000_t75" style="width:17.25pt;height:17.25pt" fillcolor="window">
                  <v:imagedata r:id="rId41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E7A" w:rsidRPr="00F62604" w:rsidRDefault="009E3E82" w:rsidP="008F11A3">
            <w:r>
              <w:pict>
                <v:shape id="_x0000_i1065" type="#_x0000_t75" style="width:24pt;height:17.25pt" fillcolor="window">
                  <v:imagedata r:id="rId42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85E7A" w:rsidRPr="00F62604" w:rsidRDefault="00985E7A" w:rsidP="008F11A3">
            <w:r w:rsidRPr="00F62604">
              <w:t>воздух</w:t>
            </w:r>
          </w:p>
        </w:tc>
      </w:tr>
      <w:tr w:rsidR="00985E7A" w:rsidRPr="00F62604" w:rsidTr="008F11A3">
        <w:tc>
          <w:tcPr>
            <w:tcW w:w="455" w:type="pc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solid" w:color="C0C0C0" w:fill="FFFFFF"/>
          </w:tcPr>
          <w:p w:rsidR="00985E7A" w:rsidRPr="00F62604" w:rsidRDefault="009E3E82" w:rsidP="008F11A3">
            <w:r>
              <w:pict>
                <v:shape id="_x0000_i1066" type="#_x0000_t75" style="width:34.5pt;height:24.75pt" filled="t" fillcolor="silver">
                  <v:imagedata r:id="rId43" o:title=""/>
                </v:shape>
              </w:pic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0.88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1.90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1.10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2.10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3.00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1.75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1.70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2.02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985E7A" w:rsidRPr="00F62604" w:rsidRDefault="00985E7A" w:rsidP="008F11A3">
            <w:r w:rsidRPr="00F62604">
              <w:t>1.40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85E7A" w:rsidRPr="00F62604" w:rsidRDefault="00985E7A" w:rsidP="008F11A3">
            <w:r w:rsidRPr="00F62604">
              <w:t>1.70</w:t>
            </w:r>
          </w:p>
        </w:tc>
      </w:tr>
    </w:tbl>
    <w:p w:rsidR="00985E7A" w:rsidRDefault="00985E7A" w:rsidP="00985E7A">
      <w:pPr>
        <w:spacing w:before="120"/>
        <w:ind w:firstLine="567"/>
        <w:jc w:val="both"/>
      </w:pPr>
      <w:r w:rsidRPr="00F62604">
        <w:t>Для двухкомпонентной смеси коэффициент динамической вязкости рассчитывается по формуле 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67" type="#_x0000_t75" style="width:249pt;height:53.25pt" fillcolor="window">
            <v:imagedata r:id="rId44" o:title=""/>
          </v:shape>
        </w:pict>
      </w:r>
      <w:r w:rsidR="00985E7A" w:rsidRPr="00F62604">
        <w:t xml:space="preserve"> , 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где </w:t>
      </w:r>
      <w:r w:rsidR="009E3E82">
        <w:pict>
          <v:shape id="_x0000_i1068" type="#_x0000_t75" style="width:63.75pt;height:33.75pt" fillcolor="window">
            <v:imagedata r:id="rId45" o:title=""/>
          </v:shape>
        </w:pict>
      </w:r>
      <w:r w:rsidRPr="00F62604">
        <w:t xml:space="preserve"> ; </w:t>
      </w:r>
      <w:r w:rsidR="009E3E82">
        <w:pict>
          <v:shape id="_x0000_i1069" type="#_x0000_t75" style="width:93.75pt;height:17.25pt" fillcolor="window">
            <v:imagedata r:id="rId46" o:title=""/>
          </v:shape>
        </w:pict>
      </w:r>
      <w:r w:rsidRPr="00F62604">
        <w:t xml:space="preserve"> ; </w:t>
      </w:r>
      <w:r w:rsidR="009E3E82">
        <w:pict>
          <v:shape id="_x0000_i1070" type="#_x0000_t75" style="width:69pt;height:36.75pt" fillcolor="window">
            <v:imagedata r:id="rId47" o:title=""/>
          </v:shape>
        </w:pict>
      </w:r>
      <w:r w:rsidRPr="00F62604">
        <w:t xml:space="preserve"> ; </w:t>
      </w:r>
      <w:r w:rsidR="009E3E82">
        <w:pict>
          <v:shape id="_x0000_i1071" type="#_x0000_t75" style="width:1in;height:36.75pt" fillcolor="window">
            <v:imagedata r:id="rId48" o:title=""/>
          </v:shape>
        </w:pict>
      </w:r>
      <w:r w:rsidRPr="00F62604">
        <w:t xml:space="preserve"> ; </w:t>
      </w:r>
      <w:r w:rsidR="009E3E82">
        <w:pict>
          <v:shape id="_x0000_i1072" type="#_x0000_t75" style="width:18pt;height:17.25pt" fillcolor="window">
            <v:imagedata r:id="rId49" o:title=""/>
          </v:shape>
        </w:pict>
      </w:r>
      <w:r w:rsidRPr="00F62604">
        <w:t xml:space="preserve"> и </w:t>
      </w:r>
      <w:r w:rsidR="009E3E82">
        <w:pict>
          <v:shape id="_x0000_i1073" type="#_x0000_t75" style="width:18.75pt;height:17.25pt" fillcolor="window">
            <v:imagedata r:id="rId50" o:title=""/>
          </v:shape>
        </w:pict>
      </w:r>
      <w:r w:rsidRPr="00F62604">
        <w:t xml:space="preserve"> находят из формулы </w:t>
      </w:r>
      <w:r w:rsidR="009E3E82">
        <w:pict>
          <v:shape id="_x0000_i1074" type="#_x0000_t75" style="width:77.25pt;height:30.75pt" fillcolor="window">
            <v:imagedata r:id="rId51" o:title=""/>
          </v:shape>
        </w:pict>
      </w:r>
      <w:r w:rsidRPr="00F62604">
        <w:t xml:space="preserve"> . Величина </w:t>
      </w:r>
      <w:r w:rsidR="009E3E82">
        <w:pict>
          <v:shape id="_x0000_i1075" type="#_x0000_t75" style="width:9.75pt;height:12.75pt" fillcolor="window">
            <v:imagedata r:id="rId17" o:title=""/>
          </v:shape>
        </w:pict>
      </w:r>
      <w:r w:rsidRPr="00F62604">
        <w:t xml:space="preserve"> в этом случае зависит от состава газовой смеси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>В области высокого вакуума молекулы газа перемещаются между движущейся поверхностью и неподвижной стенкой без соударения . В этом случае силу трения можно рассчитать по уравнению 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76" type="#_x0000_t75" style="width:99pt;height:18.75pt" fillcolor="window">
            <v:imagedata r:id="rId52" o:title=""/>
          </v:shape>
        </w:pict>
      </w:r>
      <w:r w:rsidR="00985E7A">
        <w:t xml:space="preserve"> </w:t>
      </w:r>
      <w:r w:rsidR="00985E7A" w:rsidRPr="00F62604">
        <w:t>( 5 )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Знак « – » в формуле ( 5 ) означает , что направление силы трения противоположно направлению переносной скорости </w:t>
      </w:r>
      <w:r w:rsidR="009E3E82">
        <w:pict>
          <v:shape id="_x0000_i1077" type="#_x0000_t75" style="width:14.25pt;height:18pt" fillcolor="window">
            <v:imagedata r:id="rId53" o:title=""/>
          </v:shape>
        </w:pict>
      </w:r>
      <w:r w:rsidRPr="00F62604">
        <w:t xml:space="preserve">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>Сила трения в области высокого вакуума пропорциональна молекулярной концентрации или давлению газа . Уравнение ( 5 ) с учетом ( 6 ) можно преобразовать к следующему виду</w:t>
      </w:r>
      <w:r>
        <w:t xml:space="preserve"> </w:t>
      </w:r>
      <w:r w:rsidRPr="00F62604">
        <w:t>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78" type="#_x0000_t75" style="width:102.75pt;height:36pt" fillcolor="window">
            <v:imagedata r:id="rId54" o:title=""/>
          </v:shape>
        </w:pict>
      </w:r>
      <w:r w:rsidR="00985E7A" w:rsidRPr="00F62604">
        <w:t xml:space="preserve"> , ( 9 )</w:t>
      </w:r>
    </w:p>
    <w:p w:rsidR="00985E7A" w:rsidRDefault="00985E7A" w:rsidP="00985E7A">
      <w:pPr>
        <w:spacing w:before="120"/>
        <w:ind w:firstLine="567"/>
        <w:jc w:val="both"/>
      </w:pPr>
      <w:r w:rsidRPr="00F62604">
        <w:t>откуда видно , что сила трения возрастает пропорционально корню квадратному из абсолютной температуры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В области среднего вакуума можно записать аппроксимирующее выражение . рассчитывая градиент переносной скорости в промежутке между поверхностями переноса по следующей формуле : 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79" type="#_x0000_t75" style="width:86.25pt;height:30.75pt" fillcolor="window">
            <v:imagedata r:id="rId55" o:title=""/>
          </v:shape>
        </w:pict>
      </w:r>
      <w:r w:rsidR="00985E7A" w:rsidRPr="00F62604">
        <w:t xml:space="preserve"> ,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где </w:t>
      </w:r>
      <w:r w:rsidR="009E3E82">
        <w:pict>
          <v:shape id="_x0000_i1080" type="#_x0000_t75" style="width:11.25pt;height:14.25pt" fillcolor="window">
            <v:imagedata r:id="rId56" o:title=""/>
          </v:shape>
        </w:pict>
      </w:r>
      <w:r w:rsidRPr="00F62604">
        <w:t xml:space="preserve"> – расстояние между поверхностями переноса . Тогда с учетом ( 7 ) сила трения в области среднего вакуума :</w:t>
      </w:r>
    </w:p>
    <w:p w:rsidR="00985E7A" w:rsidRDefault="009E3E82" w:rsidP="00985E7A">
      <w:pPr>
        <w:spacing w:before="120"/>
        <w:ind w:firstLine="567"/>
        <w:jc w:val="both"/>
      </w:pPr>
      <w:r>
        <w:pict>
          <v:shape id="_x0000_i1081" type="#_x0000_t75" style="width:75pt;height:32.25pt" fillcolor="window">
            <v:imagedata r:id="rId57" o:title=""/>
          </v:shape>
        </w:pict>
      </w:r>
      <w:r w:rsidR="00985E7A">
        <w:t xml:space="preserve"> </w:t>
      </w:r>
      <w:r w:rsidR="00985E7A" w:rsidRPr="00F62604">
        <w:t>( 8 ).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Легко заметить , что в условиях низкого вакуума при </w:t>
      </w:r>
      <w:r w:rsidR="009E3E82">
        <w:pict>
          <v:shape id="_x0000_i1082" type="#_x0000_t75" style="width:33.75pt;height:14.25pt" fillcolor="window">
            <v:imagedata r:id="rId58" o:title=""/>
          </v:shape>
        </w:pict>
      </w:r>
      <w:r w:rsidRPr="00F62604">
        <w:t xml:space="preserve"> формула ( 8 ) с ( 2 ) , а в условиях высокого вакуума при </w:t>
      </w:r>
      <w:r w:rsidR="009E3E82">
        <w:pict>
          <v:shape id="_x0000_i1083" type="#_x0000_t75" style="width:36.75pt;height:14.25pt" fillcolor="window">
            <v:imagedata r:id="rId59" o:title=""/>
          </v:shape>
        </w:pict>
      </w:r>
      <w:r w:rsidRPr="00F62604">
        <w:t xml:space="preserve"> с (9)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Зависимость от давления силы трения тонкой пластины площадью </w:t>
      </w:r>
      <w:r w:rsidR="009E3E82">
        <w:pict>
          <v:shape id="_x0000_i1084" type="#_x0000_t75" style="width:41.25pt;height:15.75pt" fillcolor="window">
            <v:imagedata r:id="rId60" o:title=""/>
          </v:shape>
        </w:pict>
      </w:r>
      <w:r w:rsidRPr="00F62604">
        <w:t xml:space="preserve"> , движущейся в воздухе при </w:t>
      </w:r>
      <w:r w:rsidR="009E3E82">
        <w:pict>
          <v:shape id="_x0000_i1085" type="#_x0000_t75" style="width:51pt;height:14.25pt" fillcolor="window">
            <v:imagedata r:id="rId61" o:title=""/>
          </v:shape>
        </w:pict>
      </w:r>
      <w:r w:rsidRPr="00F62604">
        <w:t xml:space="preserve"> со скоростью </w:t>
      </w:r>
      <w:r w:rsidR="009E3E82">
        <w:pict>
          <v:shape id="_x0000_i1086" type="#_x0000_t75" style="width:45pt;height:30.75pt" fillcolor="window">
            <v:imagedata r:id="rId62" o:title=""/>
          </v:shape>
        </w:pict>
      </w:r>
      <w:r w:rsidRPr="00F62604">
        <w:t xml:space="preserve"> , при расстояние между поверхностями переноса </w:t>
      </w:r>
      <w:r w:rsidR="009E3E82">
        <w:pict>
          <v:shape id="_x0000_i1087" type="#_x0000_t75" style="width:36pt;height:14.25pt" fillcolor="window">
            <v:imagedata r:id="rId63" o:title=""/>
          </v:shape>
        </w:pict>
      </w:r>
      <w:r>
        <w:t xml:space="preserve"> </w:t>
      </w:r>
      <w:r w:rsidRPr="00F62604">
        <w:t>показана на рис 2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>Вязкость газов используется для измерения давлений в области среднего и высокого вакуума , однако вязкостные манометры не получили пока широкого применения из-за длительности регистрации давления . Гораздо шире</w:t>
      </w:r>
      <w:r>
        <w:t xml:space="preserve"> </w:t>
      </w:r>
      <w:r w:rsidRPr="00F62604">
        <w:t>явление вязкости используется в технологии получения вакуума . На этом принципе работают струйные эжекторные насосы , выпускаемые промышленностью для работы в области низкого вакуума .</w:t>
      </w:r>
    </w:p>
    <w:p w:rsidR="00985E7A" w:rsidRDefault="00985E7A" w:rsidP="00985E7A">
      <w:pPr>
        <w:spacing w:before="120"/>
        <w:ind w:firstLine="567"/>
        <w:jc w:val="both"/>
      </w:pPr>
      <w:r w:rsidRPr="00F62604">
        <w:t xml:space="preserve">При </w:t>
      </w:r>
      <w:r w:rsidR="009E3E82">
        <w:pict>
          <v:shape id="_x0000_i1088" type="#_x0000_t75" style="width:41.25pt;height:15.75pt" fillcolor="window">
            <v:imagedata r:id="rId64" o:title=""/>
          </v:shape>
        </w:pict>
      </w:r>
      <w:r w:rsidRPr="00F62604">
        <w:t xml:space="preserve"> , </w:t>
      </w:r>
      <w:r w:rsidR="009E3E82">
        <w:pict>
          <v:shape id="_x0000_i1089" type="#_x0000_t75" style="width:51pt;height:14.25pt" fillcolor="window">
            <v:imagedata r:id="rId65" o:title=""/>
          </v:shape>
        </w:pict>
      </w:r>
      <w:r w:rsidRPr="00F62604">
        <w:t xml:space="preserve">, </w:t>
      </w:r>
      <w:r w:rsidR="009E3E82">
        <w:pict>
          <v:shape id="_x0000_i1090" type="#_x0000_t75" style="width:72.75pt;height:30.75pt" fillcolor="window">
            <v:imagedata r:id="rId66" o:title=""/>
          </v:shape>
        </w:pict>
      </w:r>
      <w:r w:rsidRPr="00F62604">
        <w:t xml:space="preserve"> ,</w:t>
      </w:r>
      <w:r w:rsidR="009E3E82">
        <w:pict>
          <v:shape id="_x0000_i1091" type="#_x0000_t75" style="width:42.75pt;height:30.75pt" fillcolor="window">
            <v:imagedata r:id="rId67" o:title=""/>
          </v:shape>
        </w:pict>
      </w:r>
      <w:r w:rsidRPr="00F62604">
        <w:t xml:space="preserve"> , </w:t>
      </w:r>
      <w:r w:rsidR="009E3E82">
        <w:pict>
          <v:shape id="_x0000_i1092" type="#_x0000_t75" style="width:27pt;height:14.25pt" fillcolor="window">
            <v:imagedata r:id="rId68" o:title=""/>
          </v:shape>
        </w:pict>
      </w:r>
      <w:r w:rsidRPr="00F62604">
        <w:t xml:space="preserve"> . </w:t>
      </w:r>
    </w:p>
    <w:p w:rsidR="00985E7A" w:rsidRPr="00F62604" w:rsidRDefault="00985E7A" w:rsidP="00985E7A">
      <w:pPr>
        <w:spacing w:before="120"/>
        <w:jc w:val="center"/>
        <w:rPr>
          <w:b/>
          <w:bCs/>
          <w:sz w:val="28"/>
          <w:szCs w:val="28"/>
        </w:rPr>
      </w:pPr>
      <w:bookmarkStart w:id="4" w:name="_Toc9677882"/>
      <w:bookmarkStart w:id="5" w:name="_Toc9679637"/>
      <w:r w:rsidRPr="00F62604">
        <w:rPr>
          <w:b/>
          <w:bCs/>
          <w:sz w:val="28"/>
          <w:szCs w:val="28"/>
        </w:rPr>
        <w:t>Список литературы</w:t>
      </w:r>
    </w:p>
    <w:bookmarkEnd w:id="4"/>
    <w:bookmarkEnd w:id="5"/>
    <w:p w:rsidR="00985E7A" w:rsidRPr="00F62604" w:rsidRDefault="00985E7A" w:rsidP="00985E7A">
      <w:pPr>
        <w:spacing w:before="120"/>
        <w:ind w:firstLine="567"/>
        <w:jc w:val="both"/>
      </w:pPr>
      <w:r w:rsidRPr="00F62604">
        <w:t>Л.Н. Розанов . Вакуумная техника .</w:t>
      </w:r>
    </w:p>
    <w:p w:rsidR="00985E7A" w:rsidRPr="00F62604" w:rsidRDefault="00985E7A" w:rsidP="00985E7A">
      <w:pPr>
        <w:spacing w:before="120"/>
        <w:ind w:firstLine="567"/>
        <w:jc w:val="both"/>
      </w:pPr>
      <w:r w:rsidRPr="00F62604">
        <w:t>Москва « Высшая школа » 1990 .</w:t>
      </w:r>
    </w:p>
    <w:p w:rsidR="00E12572" w:rsidRDefault="00E12572">
      <w:bookmarkStart w:id="6" w:name="_GoBack"/>
      <w:bookmarkEnd w:id="6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E7A"/>
    <w:rsid w:val="00095BA6"/>
    <w:rsid w:val="0031418A"/>
    <w:rsid w:val="005A2562"/>
    <w:rsid w:val="008F11A3"/>
    <w:rsid w:val="00985E7A"/>
    <w:rsid w:val="009E3E82"/>
    <w:rsid w:val="00A44D32"/>
    <w:rsid w:val="00CC161C"/>
    <w:rsid w:val="00E12572"/>
    <w:rsid w:val="00F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  <w14:defaultImageDpi w14:val="0"/>
  <w15:docId w15:val="{1EB7D2F6-638D-43F3-B9B8-A1936675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61" Type="http://schemas.openxmlformats.org/officeDocument/2006/relationships/image" Target="media/image58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fontTable" Target="fontTable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3591</Characters>
  <Application>Microsoft Office Word</Application>
  <DocSecurity>0</DocSecurity>
  <Lines>29</Lines>
  <Paragraphs>8</Paragraphs>
  <ScaleCrop>false</ScaleCrop>
  <Company>Home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Вязкость газов в вакуумной технике</dc:title>
  <dc:subject/>
  <dc:creator>Alena</dc:creator>
  <cp:keywords/>
  <dc:description/>
  <cp:lastModifiedBy>admin</cp:lastModifiedBy>
  <cp:revision>2</cp:revision>
  <dcterms:created xsi:type="dcterms:W3CDTF">2014-02-18T09:59:00Z</dcterms:created>
  <dcterms:modified xsi:type="dcterms:W3CDTF">2014-02-18T09:59:00Z</dcterms:modified>
</cp:coreProperties>
</file>