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96" w:rsidRPr="00E435B1" w:rsidRDefault="00AB0B96" w:rsidP="00AB0B96">
      <w:pPr>
        <w:spacing w:before="120"/>
        <w:jc w:val="center"/>
        <w:rPr>
          <w:b/>
          <w:bCs/>
          <w:sz w:val="32"/>
          <w:szCs w:val="32"/>
        </w:rPr>
      </w:pPr>
      <w:r w:rsidRPr="00E435B1">
        <w:rPr>
          <w:b/>
          <w:bCs/>
          <w:sz w:val="32"/>
          <w:szCs w:val="32"/>
        </w:rPr>
        <w:t>Двигательная активность и эмоциональный статус крыс линии WAG/RIJ в условиях повторной аудиогенной стимуляции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Бикбаев А.Ф., Карпова А.В., Балабанов Д.В., Садовников С.В., Калимуллина Л.Б.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Эпилепсия – это хроническое заболевание центральной нервной системы, проявляющееся в виде различных пароксизмальных состояний и сопровождающееся разнообразными клиническими и параклиническими симптомами.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Формы эпилепсии и ее проявления могут быть чрезвычайно полиморфными, однако для большинства ее симптомов свойственна внезапность, спонтанность, пароксизмальность. Схематично симптомы эпилепсии можно подразделить на собственно припадки, так называемые психические эквиваленты припадков и изменения психики (длительные, стойкие, прогрессирующие нарушения поведения и восприятия) [1, 2, 3].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При определении роли известных этиологических факторов эпилепсии в литературе сейчас применяется обобщенное понятие предрасположенности, поскольку каждый из них является но не жестким детерминирующим условием, а только предпосылкой для развития эпилепсии и повышает риск ее возникновения, [4, 5]. При этом предрасположенность как таковую можно подразделить на наследственную, врожденную и приобретенную [3].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На основании электроэнцефалографических данных, симптоматики, а также типа припадков эпилепсию в целом можно подразделить на генерализованную и фокальную (парциальную), каждая из которых включает в себя еще несколько специфических форм [4, 6, 7, 8]. Следствием разнообразия классифицированных форм эпилепсии стало соответствующее количество экспериментальных моделей, в той или иной степени адекватно отражающих естественное развитие этой патологии [9, 10].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Одной из экспериментальных моделей генерализованной несудорожной формы – абсансной эпилепсии - в настоящее время являются крысы линии WAG/Rij, которые характеризуются генетически детерминированной повышенной предрасположенностью к абсансным несудорожным припадкам. Поведенческие и электрографические корреляты спонтанных абсансов, включая высокоамплитудные пик-волновые разряды на ЭЭГ, у крыс данной линии сближают их с приступами этого типа, наблюдаемыми у человека в клинике [11, 12, 13]. Крысы линии WAG/Rij используются в экспериментальных исследованиях, направленных на изучение механизмов генеза и генерализации судорожной активности в мозге, а также на поиск адекватной терапии данной формы несудорожной эпилепсии у человека.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Наряду с генетически обусловленной повышенной предрасположенностью к абсансной эпилепсии, значительная часть крыс линии WAG/Rij чувствительна к аудиогенной стимуляции, что проявляется в выраженном моторном ответе на предъявляемый звуковой стимул [11, 12, 14]. Учитывая данные о патологическом воздействии, которое оказывает даже единичный генерализованный припадок на мозг [15, 16], представляет определенный интерес исследование влияния повторных судорожных припадков на поведение и эмоциональное состояние крыс. Важное значение фактора повторной стимуляции и, как следствие, повторяющихся припадков продемонстрировано с помощью такой признанной патогенетической модели височной (лимбической) эпилепсии, как электрический и химический киндлинг [17, 9, 18].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В настоящем исследовании мы изучали динамику изменений в поведении крыс линии WAG/Rij в открытом поле, вызванных ежедневной аудиогенной стимуляцией. Работа проведена на 15 половозрелых самках крыс линии WAG/Rij массой тела 240-350 г. По результатам предварительного тестирования аудиогенной чувствительности они вошли в две группы – контрольную, состоявшую из 7 крыс, аудиогенная стимуляция которых не вызывала припадка, и экспериментальную, объединившую 8 крыс, чувствительных к аудиогенной стимуляции.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Ежедневная экспериментальная процедура предполагала тестирование в открытом поле и последующую аудиогенную стимуляцию. Тестирование в квадратном открытом поле со стороной 1 м проводили один раз в день в одно и то же время (16.00 – 20.00 ч) в течение 10 дней. Продолжительность тестирования составляла 5 мин. В течение этого времени поминутно регистрировали поведенческие показатели подвижности и эмоционального состояния. Далее крысу помещали в закрытую прозрачную камеру и в течение 3 минут подавали звуковой стимул.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Статистическую обработку и анализ полученных данных осуществляли в программном пакете “Statistica 5.1” (Statsoft Inc.). С помощью этого пакета вычисляли описательные статистики и проводили дисперсионный анализ для оценки достоверности влияния аудиогенных судорожных припадков на исследуемые показатели. Количество амбуляций, вертикальных стоек, эпизодов груминга и фекальных болюсов, а также продолжительность латентного периода, общую продолжительность груминга и неподвижности анализировали с учетом двух факторов: аудиогенной чувствительности (то есть принадлежность к контрольной или экспериментальной группе) и времени (день эксперимента), - а также их взаимодействия. Таким образом, фактор “группа” включал две градации – контрольная и экспериментальная, фактор “день” включал 10 градаций по числу дней эксперимента.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Результаты проведенного исследования демонстрируют различную динамику изменений поведения крыс линии WAG/Rij контрольной и экспериментальной групп в открытом поле. У крыс контрольной группы обнаружено постепенное увеличение количества амбуляций от 2,07 в первый день до максимального значения 4,20 на восьмой день, после чего вновь происходит снижение этого показателя. Среднее количество амбуляций у крыс экспериментальной группы в течение всего экспериментального цикла не превышает 1,50, причем в первый день имеет место максимальное значение 1,39. Сходную картину наблюдали по среднему числу вертикальных стоек: контрольные крысы в первый день совершали в среднем 0,71 стойку, а на восьмой день – 1,60 стойки, после чего значение этого показателя также несколько снижалось. Экспериментальные крысы в первый день совершали в среднем 0,65 стойки, в последующие дни этот показатель был ниже и только на девятый день составил 0,45 стойки.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Оценивая поведение крыс контрольной и экспериментальной групп в динамике, можно отметить, что на 7-й, 8-й и 9-й дни различия между ними по таким показателям, как количество амбуляций, вертикальных стоек, фекальных болюсов и эпизодов груминга, а также продолжительность латентного периода и неподвижности, достигают наибольшего выражения. По продолжительности груминга, напротив, различия между группами на 8-й и 9-й дни минимальны, то есть значение этого показателя в контрольной группе обнаруживает значительное увеличение.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Далее с помощью двухфакторного дисперсионного анализа мы оценили статистическую значимость влияния аудиогенных припадков и временного фактора на поведение крыс линии WAG/Rij в открытом поле. Результаты анализа приведены в табл. 1.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>Таблица 1. Результаты дисперсионного анализа двигательной активности и эмоционального статуса крыс линии WAG/Rij в открытом поле</w:t>
      </w:r>
    </w:p>
    <w:tbl>
      <w:tblPr>
        <w:tblW w:w="5000" w:type="pct"/>
        <w:tblCellSpacing w:w="7" w:type="dxa"/>
        <w:tblInd w:w="-5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4"/>
        <w:gridCol w:w="2030"/>
        <w:gridCol w:w="2030"/>
        <w:gridCol w:w="2632"/>
      </w:tblGrid>
      <w:tr w:rsidR="00AB0B96" w:rsidRPr="00E435B1" w:rsidTr="00946DB5">
        <w:trPr>
          <w:tblCellSpacing w:w="7" w:type="dxa"/>
        </w:trPr>
        <w:tc>
          <w:tcPr>
            <w:tcW w:w="155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0B96" w:rsidRPr="00E435B1" w:rsidRDefault="00AB0B96" w:rsidP="00946DB5">
            <w:r w:rsidRPr="00E435B1">
              <w:t>Показатель</w:t>
            </w:r>
          </w:p>
        </w:tc>
        <w:tc>
          <w:tcPr>
            <w:tcW w:w="342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Уровень значимости действия факторов (р)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B0B96" w:rsidRPr="00E435B1" w:rsidRDefault="00AB0B96" w:rsidP="00946DB5"/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группа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день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взаимодействие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количество амбуляций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***0,00000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**0,00148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0,11674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количество стоек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***0,00000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***0,00006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*0,01435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количество эпизодов груминга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0,51267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0,86646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0,51971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количество фекальных болюсов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***0,00000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0,84699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0,36401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латентный период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0,05239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**0,00671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0,54435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общая продолжительность неподвижности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0,20918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0,28427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0,35881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общая продолжительность груминга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***0,00020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0,47575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0,88627</w:t>
            </w:r>
          </w:p>
        </w:tc>
      </w:tr>
      <w:tr w:rsidR="00AB0B96" w:rsidRPr="00E435B1" w:rsidTr="00946DB5">
        <w:trPr>
          <w:tblCellSpacing w:w="7" w:type="dxa"/>
        </w:trPr>
        <w:tc>
          <w:tcPr>
            <w:tcW w:w="155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все показатели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***0,00000</w:t>
            </w:r>
          </w:p>
        </w:tc>
        <w:tc>
          <w:tcPr>
            <w:tcW w:w="10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0B96" w:rsidRPr="00E435B1" w:rsidRDefault="00AB0B96" w:rsidP="00946DB5">
            <w:r w:rsidRPr="00E435B1">
              <w:t>**0,00321</w:t>
            </w:r>
          </w:p>
        </w:tc>
        <w:tc>
          <w:tcPr>
            <w:tcW w:w="1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AB0B96" w:rsidRPr="00E435B1" w:rsidRDefault="00AB0B96" w:rsidP="00946DB5">
            <w:r w:rsidRPr="00E435B1">
              <w:t>0,69904</w:t>
            </w:r>
          </w:p>
        </w:tc>
      </w:tr>
    </w:tbl>
    <w:p w:rsidR="00AB0B96" w:rsidRPr="00E435B1" w:rsidRDefault="00AB0B96" w:rsidP="00AB0B96">
      <w:pPr>
        <w:spacing w:before="120"/>
        <w:ind w:firstLine="567"/>
        <w:jc w:val="both"/>
      </w:pPr>
      <w:r w:rsidRPr="00E435B1">
        <w:t>Примечание: * отмечены достоверные различия при р&lt;0,05, ** – при р&lt;0,01, *** – при р&lt;0,001.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Наличие аудиогенных припадков достоверно влияет на количество амбуляций, вертикальных стоек и фекальных болюсов, общую продолжительность груминга, а также с учетом всей совокупности показателей (все при р&lt;0,001). Временной фактор оказывает статистически значимое влияние на количество амбуляций (р&lt;0,01), количество стоек (р&lt;0,001) и продолжительность латентного периода (р&lt;0,01). Взаимодействие обоих факторов достоверно влияет на количество стоек (р&lt;0,05). Таким образом, полученные нами данные показывают, что только количество эпизодов груминга и общая продолжительность неподвижности, при анализе этих показателей по отдельности, не обнаруживают достоверной зависимости от указанных факторов.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Полученные в настоящем исследовании данные в целом показывают, что наличие судорожных припадков у крыс экспериментальной группы неблагоприятно сказывается на их эмоциональном статусе и поведенческой активности, что приводит к достоверному снижению исследовательской активности в открытом поле.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Исследование поддержано грантом NWO – RFBR № 005-RUS-99/2. </w:t>
      </w:r>
    </w:p>
    <w:p w:rsidR="00AB0B96" w:rsidRPr="00E435B1" w:rsidRDefault="00AB0B96" w:rsidP="00AB0B96">
      <w:pPr>
        <w:spacing w:before="120"/>
        <w:jc w:val="center"/>
        <w:rPr>
          <w:b/>
          <w:bCs/>
          <w:sz w:val="28"/>
          <w:szCs w:val="28"/>
        </w:rPr>
      </w:pPr>
      <w:r w:rsidRPr="00E435B1">
        <w:rPr>
          <w:b/>
          <w:bCs/>
          <w:sz w:val="28"/>
          <w:szCs w:val="28"/>
        </w:rPr>
        <w:t>Список литературы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Ашмарин И.П., Антипенко А.Е., Ашапкин В.В. и др. Нейрохимия. М.: Изд-во Инст. биомед. химии РАМН, 1996. 470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Пенфилд В., Эриксон Т. Эпилепсия и мозговая локализация: Патофизиология и профилактика эпилептических припадков. Б. м.: Медгиз, 1949. 452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Одинак М.М., Дыскин Д.Е. Эпилепсия: этиопатогенез, клиника, дифференциальная диагностика, медикаментозное лечение. СПб.: Политехника, 1997. 233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Карлов В.А. Эпилепсия. М.: Медицина, 1990. 336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rPr>
          <w:lang w:val="en-US"/>
        </w:rPr>
        <w:t xml:space="preserve">Bauer G. Seizures and epileptic syndromes in adult // Europ. </w:t>
      </w:r>
      <w:r w:rsidRPr="00E435B1">
        <w:t xml:space="preserve">Neurol. 1994. V. 34. P. 13-17.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Верещагин Н.В., Брагина Л.К., Благовещенская Н.С. и др. Справочник по неврологии / Под ред. Е.В.Шмидта, Н.В.Верещагина. М.: Медицина, 1989. 496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Зенков Л.Р. Клиническая электроэнцефалография (с элементами эпилептологии). Таганрог: Изд-во ТРТУ, 1996. 358 с.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t xml:space="preserve">Sander J.W., Hart Y.M. Epilepsy. </w:t>
      </w:r>
      <w:r w:rsidRPr="00E435B1">
        <w:rPr>
          <w:lang w:val="en-US"/>
        </w:rPr>
        <w:t xml:space="preserve">Questions and Answers. L.: Merit Publishing International, 1999. </w:t>
      </w:r>
      <w:r w:rsidRPr="00E435B1">
        <w:t>184</w:t>
      </w:r>
      <w:r>
        <w:t xml:space="preserve"> </w:t>
      </w:r>
      <w:r w:rsidRPr="00E435B1">
        <w:t xml:space="preserve">p.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t>Майковский Е. Патогенез эпилептического очага у человека // Актуальные вопросы стереонейрохирургии эпилепсии. СПб</w:t>
      </w:r>
      <w:r w:rsidRPr="00E435B1">
        <w:rPr>
          <w:lang w:val="en-US"/>
        </w:rPr>
        <w:t xml:space="preserve">.: </w:t>
      </w:r>
      <w:r w:rsidRPr="00E435B1">
        <w:t>РНХИ</w:t>
      </w:r>
      <w:r w:rsidRPr="00E435B1">
        <w:rPr>
          <w:lang w:val="en-US"/>
        </w:rPr>
        <w:t xml:space="preserve"> </w:t>
      </w:r>
      <w:r w:rsidRPr="00E435B1">
        <w:t>им</w:t>
      </w:r>
      <w:r w:rsidRPr="00E435B1">
        <w:rPr>
          <w:lang w:val="en-US"/>
        </w:rPr>
        <w:t xml:space="preserve">. </w:t>
      </w:r>
      <w:r w:rsidRPr="00E435B1">
        <w:t>А</w:t>
      </w:r>
      <w:r w:rsidRPr="00E435B1">
        <w:rPr>
          <w:lang w:val="en-US"/>
        </w:rPr>
        <w:t>.</w:t>
      </w:r>
      <w:r w:rsidRPr="00E435B1">
        <w:t>Л</w:t>
      </w:r>
      <w:r w:rsidRPr="00E435B1">
        <w:rPr>
          <w:lang w:val="en-US"/>
        </w:rPr>
        <w:t>.</w:t>
      </w:r>
      <w:r w:rsidRPr="00E435B1">
        <w:t>Поленова</w:t>
      </w:r>
      <w:r w:rsidRPr="00E435B1">
        <w:rPr>
          <w:lang w:val="en-US"/>
        </w:rPr>
        <w:t xml:space="preserve">, 1996. C. 74-81.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Fisher RS. Animal models of the epilepsies // Brain Res. Rev. 1989. V. 14. P. 245-278.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Coenen A.M.L., Van Luijtelaar E.L.J.M. The WAG/Rij rat model for absence epilepsy: age and sex factors // Epilepsy Res. 1987. V. 1. P. 297-301.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Van Luijtelaar E.L.J.M., Coenen A.M.L. The WAG/Rij model for generalized absence epilepsy // Adv. in Epileptol. 1989. V. 17. P. 16–21.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De Bruin N.M.W.J., Van Luijtelaar E.L.J.M., Jansen S.J., Cools A.R., Ellenbroek B.A. Dopamine characteristics in different rat genotypes: the relation to absence epilepsy // Neuroscience Res. 2000. V. 38. P. 165-173.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rPr>
          <w:lang w:val="en-US"/>
        </w:rPr>
        <w:t xml:space="preserve">Kuznetsova G.D., Petrova E.V., Coenen A.M.L., Van Luijtelaar E.L.J.M. Generalized absence epilepsy and catalepsy in rats // The WAG/Rij rat model of absence epilepsy: Ten years of Research. </w:t>
      </w:r>
      <w:r w:rsidRPr="00E435B1">
        <w:t xml:space="preserve">Nijmegen: NICI Press, 1997. P. 50-54.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t>Бехтерева Н.П., Камбарова Д.К., Поздеев Л. Устойчивое патологическое состояние при болезнях мозга. Л</w:t>
      </w:r>
      <w:r w:rsidRPr="00E435B1">
        <w:rPr>
          <w:lang w:val="en-US"/>
        </w:rPr>
        <w:t xml:space="preserve">.: </w:t>
      </w:r>
      <w:r w:rsidRPr="00E435B1">
        <w:t>Медицина</w:t>
      </w:r>
      <w:r w:rsidRPr="00E435B1">
        <w:rPr>
          <w:lang w:val="en-US"/>
        </w:rPr>
        <w:t xml:space="preserve">, 1978. 240 </w:t>
      </w:r>
      <w:r w:rsidRPr="00E435B1">
        <w:t>с</w:t>
      </w:r>
      <w:r w:rsidRPr="00E435B1">
        <w:rPr>
          <w:lang w:val="en-US"/>
        </w:rPr>
        <w:t xml:space="preserve">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rPr>
          <w:lang w:val="en-US"/>
        </w:rPr>
        <w:t>Pitk</w:t>
      </w:r>
      <w:r w:rsidRPr="00E435B1">
        <w:t>д</w:t>
      </w:r>
      <w:r w:rsidRPr="00E435B1">
        <w:rPr>
          <w:lang w:val="en-US"/>
        </w:rPr>
        <w:t>nen A., Tuunanen J., K</w:t>
      </w:r>
      <w:r w:rsidRPr="00E435B1">
        <w:t>д</w:t>
      </w:r>
      <w:r w:rsidRPr="00E435B1">
        <w:rPr>
          <w:lang w:val="en-US"/>
        </w:rPr>
        <w:t>lvi</w:t>
      </w:r>
      <w:r w:rsidRPr="00E435B1">
        <w:t>д</w:t>
      </w:r>
      <w:r w:rsidRPr="00E435B1">
        <w:rPr>
          <w:lang w:val="en-US"/>
        </w:rPr>
        <w:t>inen R., Partanen K., Salmaper</w:t>
      </w:r>
      <w:r w:rsidRPr="00E435B1">
        <w:t>д</w:t>
      </w:r>
      <w:r w:rsidRPr="00E435B1">
        <w:rPr>
          <w:lang w:val="en-US"/>
        </w:rPr>
        <w:t xml:space="preserve"> T. Amygdala damage in experimental and human temporal lobe epilepsy // Epilepsy Res., 1998. </w:t>
      </w:r>
      <w:r w:rsidRPr="00E435B1">
        <w:t xml:space="preserve">V. 32. P. 233-253. </w:t>
      </w:r>
    </w:p>
    <w:p w:rsidR="00AB0B96" w:rsidRPr="00E435B1" w:rsidRDefault="00AB0B96" w:rsidP="00AB0B96">
      <w:pPr>
        <w:spacing w:before="120"/>
        <w:ind w:firstLine="567"/>
        <w:jc w:val="both"/>
        <w:rPr>
          <w:lang w:val="en-US"/>
        </w:rPr>
      </w:pPr>
      <w:r w:rsidRPr="00E435B1">
        <w:t>Чепурнов С.А., Чепурнова Н.Е. Миндалевидный комплекс мозга. М</w:t>
      </w:r>
      <w:r w:rsidRPr="00E435B1">
        <w:rPr>
          <w:lang w:val="en-US"/>
        </w:rPr>
        <w:t xml:space="preserve">.: </w:t>
      </w:r>
      <w:r w:rsidRPr="00E435B1">
        <w:t>МГУ</w:t>
      </w:r>
      <w:r w:rsidRPr="00E435B1">
        <w:rPr>
          <w:lang w:val="en-US"/>
        </w:rPr>
        <w:t xml:space="preserve">, 1981. 255 </w:t>
      </w:r>
      <w:r w:rsidRPr="00E435B1">
        <w:t>с</w:t>
      </w:r>
      <w:r w:rsidRPr="00E435B1">
        <w:rPr>
          <w:lang w:val="en-US"/>
        </w:rPr>
        <w:t xml:space="preserve">. </w:t>
      </w:r>
    </w:p>
    <w:p w:rsidR="00AB0B96" w:rsidRPr="00E435B1" w:rsidRDefault="00AB0B96" w:rsidP="00AB0B96">
      <w:pPr>
        <w:spacing w:before="120"/>
        <w:ind w:firstLine="567"/>
        <w:jc w:val="both"/>
      </w:pPr>
      <w:r w:rsidRPr="00E435B1">
        <w:rPr>
          <w:lang w:val="en-US"/>
        </w:rPr>
        <w:t xml:space="preserve">Cain D.P. Kindling and the Amygdala / The Amygdala: Neurobiological Aspects of Emotion, Memory, and Mental Dysfunction. </w:t>
      </w:r>
      <w:r w:rsidRPr="00E435B1">
        <w:t xml:space="preserve">N.Y.: Wiley-Liss, 1992. P. 539-560.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B96"/>
    <w:rsid w:val="00095BA6"/>
    <w:rsid w:val="001178BE"/>
    <w:rsid w:val="0031418A"/>
    <w:rsid w:val="005A2562"/>
    <w:rsid w:val="00946DB5"/>
    <w:rsid w:val="00A44D32"/>
    <w:rsid w:val="00AB0B96"/>
    <w:rsid w:val="00BC3D76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3D3A04-16EA-4A7A-BD89-671F8ED6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9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0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1628</Words>
  <Characters>9282</Characters>
  <Application>Microsoft Office Word</Application>
  <DocSecurity>0</DocSecurity>
  <Lines>77</Lines>
  <Paragraphs>21</Paragraphs>
  <ScaleCrop>false</ScaleCrop>
  <Company>Home</Company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Двигательная активность и эмоциональный статус крыс линии WAG/RIJ в условиях повторной аудиогенной стимуляции</dc:title>
  <dc:subject/>
  <dc:creator>Alena</dc:creator>
  <cp:keywords/>
  <dc:description/>
  <cp:lastModifiedBy>admin</cp:lastModifiedBy>
  <cp:revision>2</cp:revision>
  <dcterms:created xsi:type="dcterms:W3CDTF">2014-02-16T14:29:00Z</dcterms:created>
  <dcterms:modified xsi:type="dcterms:W3CDTF">2014-02-16T14:29:00Z</dcterms:modified>
</cp:coreProperties>
</file>