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16E" w:rsidRDefault="00027019">
      <w:pPr>
        <w:pStyle w:val="1"/>
        <w:jc w:val="center"/>
      </w:pPr>
      <w:r>
        <w:t>Тактика ведения больных ибс после аорто-коронарного шунтирования</w:t>
      </w:r>
    </w:p>
    <w:p w:rsidR="00FF316E" w:rsidRPr="00027019" w:rsidRDefault="00027019">
      <w:pPr>
        <w:pStyle w:val="a3"/>
      </w:pPr>
      <w:r>
        <w:t> Сердюкова А.В.,Федюшина О.А.</w:t>
      </w:r>
    </w:p>
    <w:p w:rsidR="00FF316E" w:rsidRDefault="00027019">
      <w:pPr>
        <w:pStyle w:val="a3"/>
      </w:pPr>
      <w:r>
        <w:t>Ведущей причиной инвалидности и смертности трудоспособного населения во всех индустриально развитых странах остается ишемическая болезнь сердца (ИБС) [1]. По данным Всемирной организации здравоохранения от сердечно-сосудистых заболеваний в мире ежегодно умирает более 15 млн. человек, причем большинство из них не доживает до 65 лет. В структуре общей смертности населения России на долю ИБС у мужчин приходится 60%, а у женщин 41% [2]. С 2005 г. в отделении сосудистой хирургии Белгородской Областной Клинической Больницы Им. Святителя Иоасафа стала выполняться операция аортокоронарное шунтирование с использованием аппарата искусственного кровообращения у больных ИБС.</w:t>
      </w:r>
    </w:p>
    <w:p w:rsidR="00FF316E" w:rsidRDefault="00027019">
      <w:pPr>
        <w:pStyle w:val="a3"/>
      </w:pPr>
      <w:r>
        <w:t>Проблема ведения больных, перенесших АКШ, является одной из ведущих в современной кардиологии. Целью нашего исследования стало изучение тактики ведения больных с ИБС, прогрессирующей стенокардией напряжения высокого ФК, перенесших АКШ, выявление особенностей течения раннего послеоперационного периода у больных ИБС, исследование осложнений за 2006 год и тактики их коррекции.</w:t>
      </w:r>
    </w:p>
    <w:p w:rsidR="00FF316E" w:rsidRDefault="00027019">
      <w:pPr>
        <w:pStyle w:val="a3"/>
      </w:pPr>
      <w:r>
        <w:t>Материалы и методы. Обследовано 30 больных ИБС с постинфарктным кардиосклерозом (ПИКС) в возрасте от 36 до 68 лет, средний возраст больных составил 52года ± 16 лет. Среди них было 27 мужчин (90%) и 3 женщины (10 %). Всем больным проводились: ЭКГ, коронарография, УЗДС сонных артерий. Эхо-КГ на аппарате «LOGIO 9» фирмы GENERAL ELECTRIC, эхоимпульсным методом в одно- и двухмерном режимах исследования с частотой ультразвука 6,3 МГц по общепринятой методике. Определялись: КДР (см), КСР (см), размеры полости ЛЖ, толщина задней стенки ЛЖ (см), толщина межжелу- дочковой перегородки (см) в диастолу и систолу. Вычислялись следующие количественные показатели: ФВ% (по методу Симпсона), КДО (мл), КСО (мл), масса миокарда (гр), индекс относительной толщины стенки ЛЖ (2H/D).</w:t>
      </w:r>
    </w:p>
    <w:p w:rsidR="00FF316E" w:rsidRDefault="00027019">
      <w:pPr>
        <w:pStyle w:val="a3"/>
      </w:pPr>
      <w:r>
        <w:t>Статистическая обработка результатов проводилась с использованием пакета Statistica 5 (StatSoft, Inc., США). Результаты статистических исследований считали достоверными при р&lt; 0,05.</w:t>
      </w:r>
    </w:p>
    <w:p w:rsidR="00FF316E" w:rsidRDefault="00027019">
      <w:pPr>
        <w:pStyle w:val="a3"/>
      </w:pPr>
      <w:r>
        <w:t>Преобладали пациенты с высоким классом стенокардии: ФК 3 у 70%, ФК 4 у 30%, 20 человек (66,6%) в анамнезе был зарегистрирован трансмуральный инфаркт миокарда, мелкоочаговые изменения выявлены у 10 больных (33,3%).</w:t>
      </w:r>
    </w:p>
    <w:p w:rsidR="00FF316E" w:rsidRDefault="00027019">
      <w:pPr>
        <w:pStyle w:val="a3"/>
      </w:pPr>
      <w:r>
        <w:t>Для определения функционального класса (ФК) хронической сердечной недостаточности (ХСН) использовали классификацию Нью-Йоркской ассоциации сердца (NYHA). ХСН II ФК была определена у 22 больных (73,3%), III ФК - у 7 (23,3%) и IV ФК - у 1 (3,3 %) больных.</w:t>
      </w:r>
    </w:p>
    <w:p w:rsidR="00FF316E" w:rsidRDefault="00027019">
      <w:pPr>
        <w:pStyle w:val="a3"/>
      </w:pPr>
      <w:r>
        <w:t>Результаты и обсуждение. В зависимости от значения КДР ЛЖ (Эхо-КГ) пациенты были разделены на 2 группы. Первая КДР ЛЖ &lt;5 ,см (n=15), вторая КДР ЛЖ &gt;5, см (n=15). В ближайшем послеоперационном периоде, через 7 суток, (таблица 1) у больных 1 группы существенно изменились диастолические размеры ЛЖ. Их увеличение сопровождалось достоверным возрастанием показателей насосной функции ЛЖ без существенного роста ММ ЛЖ. У пациентов 2-ой группы к этому времени происходили следующие изменения: уменьшение диастолического и систолического размеров ЛЖ. Такая перестройка сопровождалась значительным увеличением ФВ ЛЖ и снижением ММ (р&lt;0,05).</w:t>
      </w:r>
    </w:p>
    <w:p w:rsidR="00FF316E" w:rsidRDefault="00027019">
      <w:pPr>
        <w:pStyle w:val="a3"/>
      </w:pPr>
      <w:r>
        <w:t>Таблица 1.</w:t>
      </w:r>
    </w:p>
    <w:p w:rsidR="00FF316E" w:rsidRDefault="00027019">
      <w:pPr>
        <w:pStyle w:val="a3"/>
      </w:pPr>
      <w:r>
        <w:t>Структурно-функциональная характеристика миокарда после</w:t>
      </w:r>
    </w:p>
    <w:p w:rsidR="00FF316E" w:rsidRDefault="00027019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40"/>
        <w:gridCol w:w="240"/>
        <w:gridCol w:w="240"/>
        <w:gridCol w:w="240"/>
      </w:tblGrid>
      <w:tr w:rsidR="00FF316E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FF316E" w:rsidRDefault="0002701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FF316E" w:rsidRDefault="00027019">
            <w:r>
              <w:t>АКШ у</w:t>
            </w:r>
          </w:p>
        </w:tc>
        <w:tc>
          <w:tcPr>
            <w:tcW w:w="0" w:type="auto"/>
            <w:vAlign w:val="center"/>
            <w:hideMark/>
          </w:tcPr>
          <w:p w:rsidR="00FF316E" w:rsidRDefault="00027019">
            <w:r>
              <w:t>больных с П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F316E" w:rsidRDefault="00027019">
            <w:r>
              <w:t>ИКС.</w:t>
            </w:r>
          </w:p>
        </w:tc>
      </w:tr>
      <w:tr w:rsidR="00FF316E">
        <w:trPr>
          <w:trHeight w:val="345"/>
          <w:tblCellSpacing w:w="0" w:type="dxa"/>
        </w:trPr>
        <w:tc>
          <w:tcPr>
            <w:tcW w:w="0" w:type="auto"/>
            <w:vAlign w:val="center"/>
            <w:hideMark/>
          </w:tcPr>
          <w:p w:rsidR="00FF316E" w:rsidRDefault="00027019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F316E" w:rsidRDefault="00027019">
            <w:r>
              <w:t>Группа 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F316E" w:rsidRDefault="00027019">
            <w:r>
              <w:t>Группа 2</w:t>
            </w:r>
          </w:p>
        </w:tc>
      </w:tr>
      <w:tr w:rsidR="00FF316E">
        <w:trPr>
          <w:trHeight w:val="285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FF316E" w:rsidRDefault="00027019">
            <w:r>
              <w:t>Показатели</w:t>
            </w:r>
          </w:p>
        </w:tc>
        <w:tc>
          <w:tcPr>
            <w:tcW w:w="0" w:type="auto"/>
            <w:vAlign w:val="center"/>
            <w:hideMark/>
          </w:tcPr>
          <w:p w:rsidR="00FF316E" w:rsidRDefault="00027019">
            <w:r>
              <w:t>n =</w:t>
            </w:r>
          </w:p>
        </w:tc>
        <w:tc>
          <w:tcPr>
            <w:tcW w:w="0" w:type="auto"/>
            <w:vAlign w:val="center"/>
            <w:hideMark/>
          </w:tcPr>
          <w:p w:rsidR="00FF316E" w:rsidRDefault="00027019">
            <w:r>
              <w:t>15</w:t>
            </w:r>
          </w:p>
        </w:tc>
        <w:tc>
          <w:tcPr>
            <w:tcW w:w="0" w:type="auto"/>
            <w:vAlign w:val="center"/>
            <w:hideMark/>
          </w:tcPr>
          <w:p w:rsidR="00FF316E" w:rsidRDefault="00027019">
            <w:r>
              <w:t>n</w:t>
            </w:r>
          </w:p>
        </w:tc>
        <w:tc>
          <w:tcPr>
            <w:tcW w:w="0" w:type="auto"/>
            <w:vAlign w:val="center"/>
            <w:hideMark/>
          </w:tcPr>
          <w:p w:rsidR="00FF316E" w:rsidRDefault="00027019">
            <w:r>
              <w:t>=15</w:t>
            </w:r>
          </w:p>
        </w:tc>
      </w:tr>
      <w:tr w:rsidR="00FF316E">
        <w:trPr>
          <w:trHeight w:val="40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F316E" w:rsidRDefault="00FF316E"/>
        </w:tc>
        <w:tc>
          <w:tcPr>
            <w:tcW w:w="0" w:type="auto"/>
            <w:vAlign w:val="center"/>
            <w:hideMark/>
          </w:tcPr>
          <w:p w:rsidR="00FF316E" w:rsidRDefault="00027019">
            <w:r>
              <w:t>До опера-</w:t>
            </w:r>
          </w:p>
        </w:tc>
        <w:tc>
          <w:tcPr>
            <w:tcW w:w="0" w:type="auto"/>
            <w:vAlign w:val="center"/>
            <w:hideMark/>
          </w:tcPr>
          <w:p w:rsidR="00FF316E" w:rsidRDefault="00027019">
            <w:r>
              <w:t>После</w:t>
            </w:r>
          </w:p>
        </w:tc>
        <w:tc>
          <w:tcPr>
            <w:tcW w:w="0" w:type="auto"/>
            <w:vAlign w:val="center"/>
            <w:hideMark/>
          </w:tcPr>
          <w:p w:rsidR="00FF316E" w:rsidRDefault="00027019">
            <w:r>
              <w:t>До</w:t>
            </w:r>
          </w:p>
        </w:tc>
        <w:tc>
          <w:tcPr>
            <w:tcW w:w="0" w:type="auto"/>
            <w:vAlign w:val="center"/>
            <w:hideMark/>
          </w:tcPr>
          <w:p w:rsidR="00FF316E" w:rsidRDefault="00027019">
            <w:r>
              <w:t>После</w:t>
            </w:r>
          </w:p>
        </w:tc>
      </w:tr>
      <w:tr w:rsidR="00FF316E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F316E" w:rsidRDefault="0002701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FF316E" w:rsidRDefault="00027019">
            <w:r>
              <w:t>ции</w:t>
            </w:r>
          </w:p>
        </w:tc>
        <w:tc>
          <w:tcPr>
            <w:tcW w:w="0" w:type="auto"/>
            <w:vAlign w:val="center"/>
            <w:hideMark/>
          </w:tcPr>
          <w:p w:rsidR="00FF316E" w:rsidRDefault="00027019">
            <w:r>
              <w:t>операции</w:t>
            </w:r>
          </w:p>
        </w:tc>
        <w:tc>
          <w:tcPr>
            <w:tcW w:w="0" w:type="auto"/>
            <w:vAlign w:val="center"/>
            <w:hideMark/>
          </w:tcPr>
          <w:p w:rsidR="00FF316E" w:rsidRDefault="00027019">
            <w:r>
              <w:t>операции</w:t>
            </w:r>
          </w:p>
        </w:tc>
        <w:tc>
          <w:tcPr>
            <w:tcW w:w="0" w:type="auto"/>
            <w:vAlign w:val="center"/>
            <w:hideMark/>
          </w:tcPr>
          <w:p w:rsidR="00FF316E" w:rsidRDefault="00027019">
            <w:r>
              <w:t>операции</w:t>
            </w:r>
          </w:p>
        </w:tc>
      </w:tr>
      <w:tr w:rsidR="00FF316E">
        <w:trPr>
          <w:trHeight w:val="525"/>
          <w:tblCellSpacing w:w="0" w:type="dxa"/>
        </w:trPr>
        <w:tc>
          <w:tcPr>
            <w:tcW w:w="0" w:type="auto"/>
            <w:vAlign w:val="center"/>
            <w:hideMark/>
          </w:tcPr>
          <w:p w:rsidR="00FF316E" w:rsidRDefault="00027019">
            <w:r>
              <w:t>КДР ЛЖ, см</w:t>
            </w:r>
          </w:p>
        </w:tc>
        <w:tc>
          <w:tcPr>
            <w:tcW w:w="0" w:type="auto"/>
            <w:vAlign w:val="center"/>
            <w:hideMark/>
          </w:tcPr>
          <w:p w:rsidR="00FF316E" w:rsidRDefault="00027019">
            <w:r>
              <w:t>4,89±0,05</w:t>
            </w:r>
          </w:p>
        </w:tc>
        <w:tc>
          <w:tcPr>
            <w:tcW w:w="0" w:type="auto"/>
            <w:vAlign w:val="center"/>
            <w:hideMark/>
          </w:tcPr>
          <w:p w:rsidR="00FF316E" w:rsidRDefault="00027019">
            <w:r>
              <w:t>5,06±0,03*</w:t>
            </w:r>
          </w:p>
        </w:tc>
        <w:tc>
          <w:tcPr>
            <w:tcW w:w="0" w:type="auto"/>
            <w:vAlign w:val="center"/>
            <w:hideMark/>
          </w:tcPr>
          <w:p w:rsidR="00FF316E" w:rsidRDefault="00027019">
            <w:r>
              <w:t>5,4±0,04</w:t>
            </w:r>
          </w:p>
        </w:tc>
        <w:tc>
          <w:tcPr>
            <w:tcW w:w="0" w:type="auto"/>
            <w:vAlign w:val="center"/>
            <w:hideMark/>
          </w:tcPr>
          <w:p w:rsidR="00FF316E" w:rsidRDefault="00027019">
            <w:r>
              <w:t>5,31±0,03*</w:t>
            </w:r>
          </w:p>
        </w:tc>
      </w:tr>
      <w:tr w:rsidR="00FF316E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FF316E" w:rsidRDefault="00027019">
            <w:r>
              <w:t>КСР ЛЖ, см</w:t>
            </w:r>
          </w:p>
        </w:tc>
        <w:tc>
          <w:tcPr>
            <w:tcW w:w="0" w:type="auto"/>
            <w:vAlign w:val="center"/>
            <w:hideMark/>
          </w:tcPr>
          <w:p w:rsidR="00FF316E" w:rsidRDefault="00027019">
            <w:r>
              <w:t>3,46±0,12</w:t>
            </w:r>
          </w:p>
        </w:tc>
        <w:tc>
          <w:tcPr>
            <w:tcW w:w="0" w:type="auto"/>
            <w:vAlign w:val="center"/>
            <w:hideMark/>
          </w:tcPr>
          <w:p w:rsidR="00FF316E" w:rsidRDefault="00027019">
            <w:r>
              <w:t>3,34±0,08</w:t>
            </w:r>
          </w:p>
        </w:tc>
        <w:tc>
          <w:tcPr>
            <w:tcW w:w="0" w:type="auto"/>
            <w:vAlign w:val="center"/>
            <w:hideMark/>
          </w:tcPr>
          <w:p w:rsidR="00FF316E" w:rsidRDefault="00027019">
            <w:r>
              <w:t>3,95±0,07</w:t>
            </w:r>
          </w:p>
        </w:tc>
        <w:tc>
          <w:tcPr>
            <w:tcW w:w="0" w:type="auto"/>
            <w:vAlign w:val="center"/>
            <w:hideMark/>
          </w:tcPr>
          <w:p w:rsidR="00FF316E" w:rsidRDefault="00027019">
            <w:r>
              <w:t>3,69±0,02*</w:t>
            </w:r>
          </w:p>
        </w:tc>
      </w:tr>
      <w:tr w:rsidR="00FF316E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FF316E" w:rsidRDefault="00027019">
            <w:r>
              <w:t>КДО лж, мл</w:t>
            </w:r>
          </w:p>
        </w:tc>
        <w:tc>
          <w:tcPr>
            <w:tcW w:w="0" w:type="auto"/>
            <w:vAlign w:val="center"/>
            <w:hideMark/>
          </w:tcPr>
          <w:p w:rsidR="00FF316E" w:rsidRDefault="00027019">
            <w:r>
              <w:t>112,3±2,69</w:t>
            </w:r>
          </w:p>
        </w:tc>
        <w:tc>
          <w:tcPr>
            <w:tcW w:w="0" w:type="auto"/>
            <w:vAlign w:val="center"/>
            <w:hideMark/>
          </w:tcPr>
          <w:p w:rsidR="00FF316E" w:rsidRDefault="00027019">
            <w:r>
              <w:t>121,3±1,66*</w:t>
            </w:r>
          </w:p>
        </w:tc>
        <w:tc>
          <w:tcPr>
            <w:tcW w:w="0" w:type="auto"/>
            <w:vAlign w:val="center"/>
            <w:hideMark/>
          </w:tcPr>
          <w:p w:rsidR="00FF316E" w:rsidRDefault="00027019">
            <w:r>
              <w:t>141,4±2,54</w:t>
            </w:r>
          </w:p>
        </w:tc>
        <w:tc>
          <w:tcPr>
            <w:tcW w:w="0" w:type="auto"/>
            <w:vAlign w:val="center"/>
            <w:hideMark/>
          </w:tcPr>
          <w:p w:rsidR="00FF316E" w:rsidRDefault="00027019">
            <w:r>
              <w:t>136,1±1,74*</w:t>
            </w:r>
          </w:p>
        </w:tc>
      </w:tr>
      <w:tr w:rsidR="00FF316E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FF316E" w:rsidRDefault="00027019">
            <w:r>
              <w:t>ФВ ЛЖ,%</w:t>
            </w:r>
          </w:p>
        </w:tc>
        <w:tc>
          <w:tcPr>
            <w:tcW w:w="0" w:type="auto"/>
            <w:vAlign w:val="center"/>
            <w:hideMark/>
          </w:tcPr>
          <w:p w:rsidR="00FF316E" w:rsidRDefault="00027019">
            <w:r>
              <w:t>52,02±2,43</w:t>
            </w:r>
          </w:p>
        </w:tc>
        <w:tc>
          <w:tcPr>
            <w:tcW w:w="0" w:type="auto"/>
            <w:vAlign w:val="center"/>
            <w:hideMark/>
          </w:tcPr>
          <w:p w:rsidR="00FF316E" w:rsidRDefault="00027019">
            <w:r>
              <w:t>57,35±1,75*</w:t>
            </w:r>
          </w:p>
        </w:tc>
        <w:tc>
          <w:tcPr>
            <w:tcW w:w="0" w:type="auto"/>
            <w:vAlign w:val="center"/>
            <w:hideMark/>
          </w:tcPr>
          <w:p w:rsidR="00FF316E" w:rsidRDefault="00027019">
            <w:r>
              <w:t>48,71±1,83</w:t>
            </w:r>
          </w:p>
        </w:tc>
        <w:tc>
          <w:tcPr>
            <w:tcW w:w="0" w:type="auto"/>
            <w:vAlign w:val="center"/>
            <w:hideMark/>
          </w:tcPr>
          <w:p w:rsidR="00FF316E" w:rsidRDefault="00027019">
            <w:r>
              <w:t>53,6±0,28*</w:t>
            </w:r>
          </w:p>
        </w:tc>
      </w:tr>
      <w:tr w:rsidR="00FF316E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FF316E" w:rsidRDefault="00027019">
            <w:r>
              <w:t>ММ ЛЖ,г</w:t>
            </w:r>
          </w:p>
        </w:tc>
        <w:tc>
          <w:tcPr>
            <w:tcW w:w="0" w:type="auto"/>
            <w:vAlign w:val="center"/>
            <w:hideMark/>
          </w:tcPr>
          <w:p w:rsidR="00FF316E" w:rsidRDefault="00027019">
            <w:r>
              <w:t>105,7±8,35</w:t>
            </w:r>
          </w:p>
        </w:tc>
        <w:tc>
          <w:tcPr>
            <w:tcW w:w="0" w:type="auto"/>
            <w:vAlign w:val="center"/>
            <w:hideMark/>
          </w:tcPr>
          <w:p w:rsidR="00FF316E" w:rsidRDefault="00027019">
            <w:r>
              <w:t>113,6±4,44</w:t>
            </w:r>
          </w:p>
        </w:tc>
        <w:tc>
          <w:tcPr>
            <w:tcW w:w="0" w:type="auto"/>
            <w:vAlign w:val="center"/>
            <w:hideMark/>
          </w:tcPr>
          <w:p w:rsidR="00FF316E" w:rsidRDefault="00027019">
            <w:r>
              <w:t>130,9±6,34</w:t>
            </w:r>
          </w:p>
        </w:tc>
        <w:tc>
          <w:tcPr>
            <w:tcW w:w="0" w:type="auto"/>
            <w:vAlign w:val="center"/>
            <w:hideMark/>
          </w:tcPr>
          <w:p w:rsidR="00FF316E" w:rsidRDefault="00027019">
            <w:r>
              <w:t>13,3±2,53*</w:t>
            </w:r>
          </w:p>
        </w:tc>
      </w:tr>
      <w:tr w:rsidR="00FF316E">
        <w:trPr>
          <w:trHeight w:val="480"/>
          <w:tblCellSpacing w:w="0" w:type="dxa"/>
        </w:trPr>
        <w:tc>
          <w:tcPr>
            <w:tcW w:w="0" w:type="auto"/>
            <w:vAlign w:val="center"/>
            <w:hideMark/>
          </w:tcPr>
          <w:p w:rsidR="00FF316E" w:rsidRDefault="00027019">
            <w:r>
              <w:t>2H/D ЛЖ</w:t>
            </w:r>
          </w:p>
        </w:tc>
        <w:tc>
          <w:tcPr>
            <w:tcW w:w="0" w:type="auto"/>
            <w:vAlign w:val="center"/>
            <w:hideMark/>
          </w:tcPr>
          <w:p w:rsidR="00FF316E" w:rsidRDefault="00027019">
            <w:r>
              <w:t>0,41±0,02</w:t>
            </w:r>
          </w:p>
        </w:tc>
        <w:tc>
          <w:tcPr>
            <w:tcW w:w="0" w:type="auto"/>
            <w:vAlign w:val="center"/>
            <w:hideMark/>
          </w:tcPr>
          <w:p w:rsidR="00FF316E" w:rsidRDefault="00027019">
            <w:r>
              <w:t>0,41±0,01</w:t>
            </w:r>
          </w:p>
        </w:tc>
        <w:tc>
          <w:tcPr>
            <w:tcW w:w="0" w:type="auto"/>
            <w:vAlign w:val="center"/>
            <w:hideMark/>
          </w:tcPr>
          <w:p w:rsidR="00FF316E" w:rsidRDefault="00027019">
            <w:r>
              <w:t>0,37±0,02</w:t>
            </w:r>
          </w:p>
        </w:tc>
        <w:tc>
          <w:tcPr>
            <w:tcW w:w="0" w:type="auto"/>
            <w:vAlign w:val="center"/>
            <w:hideMark/>
          </w:tcPr>
          <w:p w:rsidR="00FF316E" w:rsidRDefault="00027019">
            <w:r>
              <w:t>0,36±0,01</w:t>
            </w:r>
          </w:p>
        </w:tc>
      </w:tr>
    </w:tbl>
    <w:p w:rsidR="00FF316E" w:rsidRPr="00027019" w:rsidRDefault="00027019">
      <w:pPr>
        <w:pStyle w:val="a3"/>
      </w:pPr>
      <w:r>
        <w:t>*р&lt;0,05 достоверно с группой до операции</w:t>
      </w:r>
    </w:p>
    <w:p w:rsidR="00FF316E" w:rsidRDefault="00027019">
      <w:pPr>
        <w:pStyle w:val="a3"/>
      </w:pPr>
      <w:r>
        <w:t>При сравнении течения послеоперационного периода в данных группах, было отмечено, что в группе с КДР&gt;5 см, нарушения ритма встречались у 36% пациентов, а у первой группы с КДР &lt;5 см, у 20%, что достоверно ниже.</w:t>
      </w:r>
    </w:p>
    <w:p w:rsidR="00FF316E" w:rsidRDefault="00027019">
      <w:pPr>
        <w:pStyle w:val="a3"/>
      </w:pPr>
      <w:r>
        <w:t>Однако при анализе нарушений ритма 2005 и 2006 года, отмечено снижение с 40% до 30%; что связано с приемом кордарона в профилактических целях в дозировке 600 мг/сут. за 7 суток до операции. Однако процент осложнений со стороны аритмий сохраняется высоким, что требует углубленного изучения анамнеза и назначения дополнительных инструментальных методов исследования в предоперационном периоде.</w:t>
      </w:r>
    </w:p>
    <w:p w:rsidR="00FF316E" w:rsidRDefault="00027019">
      <w:pPr>
        <w:pStyle w:val="a3"/>
      </w:pPr>
      <w:r>
        <w:t>Также обращает на себя внимание увеличение количество нарушений ритма в группе больных с КДР &gt;5 (см), что может быть прогностически неблагоприятным фактором в развитии фибрилляции предсердий.</w:t>
      </w:r>
    </w:p>
    <w:p w:rsidR="00FF316E" w:rsidRDefault="00027019">
      <w:pPr>
        <w:pStyle w:val="a3"/>
      </w:pPr>
      <w:r>
        <w:t>Список литературы</w:t>
      </w:r>
    </w:p>
    <w:p w:rsidR="00FF316E" w:rsidRDefault="00027019">
      <w:pPr>
        <w:pStyle w:val="a3"/>
      </w:pPr>
      <w:r>
        <w:t>Стародубов В.И. Хальфин Р. А. Демографические показатели и показатели здоровья населения. Информационные материалы « Врачам стационаров лечебно-профилактических учереждений ». Москва 2006. с 6-14 .</w:t>
      </w:r>
    </w:p>
    <w:p w:rsidR="00FF316E" w:rsidRDefault="00027019">
      <w:pPr>
        <w:pStyle w:val="a3"/>
      </w:pPr>
      <w:r>
        <w:t>Деев А. Д. Нарушение сократимости миокарда левого желудочка у больных после коронарного шунтирования и методы ее коррекции. Кардиология , 2007, №2, с. 47-49.</w:t>
      </w:r>
    </w:p>
    <w:p w:rsidR="00FF316E" w:rsidRDefault="00027019">
      <w:pPr>
        <w:pStyle w:val="a3"/>
      </w:pPr>
      <w:r>
        <w:t>Акчурин Р.С., Ширяев А.А., Бранд Я.Б., Королев С.В., Галяутдинов Д.М., Васильев В.П. Реконструктивная микрохирургия коронарных артерий: опыт первых 2000 операций. Сборник статей по Материалам Всероссийской научно-практической конференции «Современные технологии хирургии ишемической болезни сердца». М., 2001, с.13-15.</w:t>
      </w:r>
    </w:p>
    <w:p w:rsidR="00FF316E" w:rsidRDefault="00027019">
      <w:pPr>
        <w:pStyle w:val="a3"/>
      </w:pPr>
      <w:r>
        <w:t>Белов Ю.В. Показания и противопоказания к аортокоронарному шунтированию. Грудная и сердечно-сосудистая хирургия, 1992, N. 1-2, с. 8-12.</w:t>
      </w:r>
    </w:p>
    <w:p w:rsidR="00FF316E" w:rsidRDefault="00027019">
      <w:pPr>
        <w:pStyle w:val="a3"/>
      </w:pPr>
      <w:r>
        <w:t>Князев М.Д., Кириченко А.А., Аслибекян И.С. Динамика нарушений ритма и проводимости при хирургическом лечении ишемической болезни сердца //Кардиология. - 2003. - Т. 21. - N 3. - С. 15-18.</w:t>
      </w:r>
    </w:p>
    <w:p w:rsidR="00FF316E" w:rsidRDefault="00027019">
      <w:pPr>
        <w:pStyle w:val="a3"/>
      </w:pPr>
      <w:r>
        <w:t>Наумов В.Г., Лупанов В.П. Профилактика рестенозов после ангиопластики, стентирования и коронарного шунтирования. Сердце 2002; 1(5): 138—143.7. Ю. А. Карпов. Результаты клинического этапа национальной программы. Кардиология , 2006, №6, с. 31-32</w:t>
      </w:r>
    </w:p>
    <w:p w:rsidR="00FF316E" w:rsidRDefault="00027019">
      <w:pPr>
        <w:pStyle w:val="a3"/>
      </w:pPr>
      <w:r>
        <w:t>Глезер М.Г., Асташкин Е. И. Современная концепция патогенеза постинфарктного ремоделирования сердца. Подходы к медикаментозной терапии // Клин. геронтол. - 2000. -№ 1. -С. 33-43.</w:t>
      </w:r>
      <w:bookmarkStart w:id="0" w:name="_GoBack"/>
      <w:bookmarkEnd w:id="0"/>
    </w:p>
    <w:sectPr w:rsidR="00FF31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7019"/>
    <w:rsid w:val="00027019"/>
    <w:rsid w:val="00085D53"/>
    <w:rsid w:val="00FF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FD01FB-34E2-4E11-898A-17EEBE125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895</Words>
  <Characters>5102</Characters>
  <Application>Microsoft Office Word</Application>
  <DocSecurity>0</DocSecurity>
  <Lines>42</Lines>
  <Paragraphs>11</Paragraphs>
  <ScaleCrop>false</ScaleCrop>
  <Company>diakov.net</Company>
  <LinksUpToDate>false</LinksUpToDate>
  <CharactersWithSpaces>5986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Тактика ведения больных ибс после аорто-коронарного шунтирования</dc:title>
  <dc:subject/>
  <dc:creator>Irina</dc:creator>
  <cp:keywords/>
  <dc:description/>
  <cp:lastModifiedBy>Irina</cp:lastModifiedBy>
  <cp:revision>2</cp:revision>
  <dcterms:created xsi:type="dcterms:W3CDTF">2014-07-19T15:42:00Z</dcterms:created>
  <dcterms:modified xsi:type="dcterms:W3CDTF">2014-07-19T15:42:00Z</dcterms:modified>
</cp:coreProperties>
</file>