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79" w:rsidRDefault="00D60C79">
      <w:pPr>
        <w:pStyle w:val="af7"/>
      </w:pPr>
      <w:r>
        <w:t>Содержание</w:t>
      </w:r>
    </w:p>
    <w:p w:rsidR="00D60C79" w:rsidRDefault="00D60C79" w:rsidP="00D60C79">
      <w:pPr>
        <w:pStyle w:val="1"/>
        <w:rPr>
          <w:lang w:val="uk-UA"/>
        </w:rPr>
      </w:pP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Вступ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Пенсійний фонд України: призначення, джерела формування та напрями використання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Фонд соціального страхування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Фонд для здійснення заходів щодо ліквідації наслідків чорнобильської катастрофи та соціального захисту населення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Фонд сприяння зайнятості населення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Фонд сприяння конверсі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Держаний інноваційний фонд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Позабюджетні фонди органів місцевого самоврядування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Валютні фонди органів місцевого самоврядування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Висновок</w:t>
      </w:r>
    </w:p>
    <w:p w:rsidR="00D60C79" w:rsidRDefault="00D60C79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C160E">
        <w:rPr>
          <w:rStyle w:val="aff"/>
          <w:noProof/>
          <w:lang w:val="uk-UA"/>
        </w:rPr>
        <w:t>Література</w:t>
      </w:r>
    </w:p>
    <w:p w:rsidR="00D60C79" w:rsidRDefault="00D60C79" w:rsidP="00D60C79">
      <w:pPr>
        <w:rPr>
          <w:lang w:val="uk-UA" w:eastAsia="en-US"/>
        </w:rPr>
      </w:pPr>
      <w:bookmarkStart w:id="0" w:name="_Toc286668887"/>
    </w:p>
    <w:p w:rsidR="006D68E8" w:rsidRDefault="00D60C79" w:rsidP="00273526">
      <w:pPr>
        <w:pStyle w:val="1"/>
        <w:rPr>
          <w:lang w:val="uk-UA"/>
        </w:rPr>
      </w:pPr>
      <w:r>
        <w:rPr>
          <w:lang w:val="uk-UA"/>
        </w:rPr>
        <w:br w:type="page"/>
      </w:r>
      <w:r w:rsidR="006D68E8" w:rsidRPr="00D60C79">
        <w:rPr>
          <w:lang w:val="uk-UA"/>
        </w:rPr>
        <w:t>Вступ</w:t>
      </w:r>
      <w:bookmarkEnd w:id="0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b/>
          <w:bCs/>
          <w:lang w:val="uk-UA"/>
        </w:rPr>
        <w:t>Позабюджетні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b/>
          <w:bCs/>
          <w:lang w:val="uk-UA"/>
        </w:rPr>
        <w:t>фонди</w:t>
      </w:r>
      <w:r w:rsidR="00D60C79" w:rsidRPr="00D60C79">
        <w:rPr>
          <w:b/>
          <w:bCs/>
          <w:lang w:val="uk-UA"/>
        </w:rPr>
        <w:t xml:space="preserve"> - </w:t>
      </w:r>
      <w:r w:rsidRPr="00D60C79">
        <w:rPr>
          <w:lang w:val="uk-UA"/>
        </w:rPr>
        <w:t>фінансові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ресурси,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утворені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суб'єктів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призначенням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наприклад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). </w:t>
      </w:r>
      <w:r w:rsidRPr="00D60C79">
        <w:rPr>
          <w:lang w:val="uk-UA"/>
        </w:rPr>
        <w:t>Розрізняють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призначенням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такі,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економічний,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природоохоронний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характер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рівнями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загальнодержавний,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місцевий</w:t>
      </w:r>
      <w:r w:rsidR="00D60C79" w:rsidRPr="00D60C79">
        <w:rPr>
          <w:lang w:val="uk-UA"/>
        </w:rPr>
        <w:t>).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b/>
          <w:bCs/>
          <w:lang w:val="uk-UA"/>
        </w:rPr>
        <w:t>Цільові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b/>
          <w:bCs/>
          <w:lang w:val="uk-UA"/>
        </w:rPr>
        <w:t>державні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b/>
          <w:bCs/>
          <w:lang w:val="uk-UA"/>
        </w:rPr>
        <w:t>фонди</w:t>
      </w:r>
      <w:r w:rsidR="00D60C79" w:rsidRPr="00D60C79">
        <w:rPr>
          <w:b/>
          <w:bCs/>
          <w:lang w:val="uk-UA"/>
        </w:rPr>
        <w:t xml:space="preserve"> - </w:t>
      </w:r>
      <w:r w:rsidRPr="00D60C79">
        <w:rPr>
          <w:lang w:val="uk-UA"/>
        </w:rPr>
        <w:t>це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сукупність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ресурсів,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знаходяться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розпорядженні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</w:t>
      </w:r>
      <w:r w:rsidR="00D60C79" w:rsidRPr="00D60C79">
        <w:rPr>
          <w:lang w:val="uk-UA"/>
        </w:rPr>
        <w:t>.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  <w:iCs/>
          <w:lang w:val="uk-UA"/>
        </w:rPr>
      </w:pPr>
      <w:r w:rsidRPr="00D60C79">
        <w:rPr>
          <w:lang w:val="uk-UA"/>
        </w:rPr>
        <w:t>Цільові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виступають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методів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перерозподілу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національного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важливих</w:t>
      </w:r>
      <w:r w:rsidR="00D60C79" w:rsidRPr="00D60C79">
        <w:rPr>
          <w:lang w:val="uk-UA"/>
        </w:rPr>
        <w:t xml:space="preserve"> </w:t>
      </w:r>
      <w:r w:rsidRPr="00D60C79">
        <w:rPr>
          <w:i/>
          <w:iCs/>
          <w:lang w:val="uk-UA"/>
        </w:rPr>
        <w:t>завдання</w:t>
      </w:r>
      <w:r w:rsidR="00D60C79" w:rsidRPr="00D60C79">
        <w:rPr>
          <w:i/>
          <w:iCs/>
          <w:lang w:val="uk-UA"/>
        </w:rPr>
        <w:t>: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забезпечують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додатковими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пріоритетні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сфери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економіки</w:t>
      </w:r>
      <w:r w:rsidR="00D60C79" w:rsidRPr="00D60C79">
        <w:rPr>
          <w:lang w:val="uk-UA"/>
        </w:rPr>
        <w:t>;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розширюють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коло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населенню</w:t>
      </w:r>
      <w:r w:rsidR="00D60C79" w:rsidRPr="00D60C79">
        <w:rPr>
          <w:lang w:val="uk-UA"/>
        </w:rPr>
        <w:t>.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i/>
          <w:iCs/>
          <w:lang w:val="uk-UA"/>
        </w:rPr>
        <w:t>Необхідність</w:t>
      </w:r>
      <w:r w:rsidR="00D60C79" w:rsidRPr="00D60C79">
        <w:rPr>
          <w:i/>
          <w:iCs/>
          <w:lang w:val="uk-UA"/>
        </w:rPr>
        <w:t xml:space="preserve"> </w:t>
      </w:r>
      <w:r w:rsidRPr="00D60C79">
        <w:rPr>
          <w:lang w:val="uk-UA"/>
        </w:rPr>
        <w:t>функціонування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обумовлюється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причинами</w:t>
      </w:r>
      <w:r w:rsidR="00D60C79" w:rsidRPr="00D60C79">
        <w:rPr>
          <w:lang w:val="uk-UA"/>
        </w:rPr>
        <w:t>: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Бюджет,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через</w:t>
      </w:r>
      <w:r w:rsidR="00D60C79" w:rsidRPr="00D60C79">
        <w:rPr>
          <w:lang w:val="uk-UA"/>
        </w:rPr>
        <w:t xml:space="preserve"> </w:t>
      </w:r>
      <w:r w:rsidR="00AD0BF9"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="00AD0BF9" w:rsidRPr="00D60C79">
        <w:rPr>
          <w:lang w:val="uk-UA"/>
        </w:rPr>
        <w:t>закріпленість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більшої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частини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зумовлює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дефіцитне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окремих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статей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Цільові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спрямування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>.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Швидкі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зміни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економічному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житті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зумовлюють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необхідність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прийняття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оперативних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рішень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сфері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перерозподілу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ресурсів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Таку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оперативність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забезпечити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через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досить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важко,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оскільки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останній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приймається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парламентському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контролю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Цільові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виконавчими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більш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прийнятними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вказаних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завдань</w:t>
      </w:r>
      <w:r w:rsidR="00D60C79" w:rsidRPr="00D60C79">
        <w:rPr>
          <w:lang w:val="uk-UA"/>
        </w:rPr>
        <w:t>.</w:t>
      </w:r>
    </w:p>
    <w:p w:rsid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Наявність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дефіциту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умови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активного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сальдо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використовуватися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дефіциту</w:t>
      </w:r>
      <w:r w:rsidR="00D60C79" w:rsidRPr="00D60C79">
        <w:rPr>
          <w:lang w:val="uk-UA"/>
        </w:rPr>
        <w:t>.</w:t>
      </w:r>
    </w:p>
    <w:p w:rsidR="00273526" w:rsidRPr="00273526" w:rsidRDefault="00273526" w:rsidP="00273526">
      <w:pPr>
        <w:pStyle w:val="af6"/>
        <w:rPr>
          <w:lang w:val="uk-UA"/>
        </w:rPr>
      </w:pPr>
      <w:r w:rsidRPr="00273526">
        <w:rPr>
          <w:lang w:val="uk-UA"/>
        </w:rPr>
        <w:t>позабюджетний фонд пенсійний україна</w:t>
      </w:r>
    </w:p>
    <w:p w:rsid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4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Багатогранність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господарювання,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суспільстві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лише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механізму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розподілу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національного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</w:t>
      </w:r>
      <w:r w:rsidR="00D60C79" w:rsidRPr="00D60C79">
        <w:rPr>
          <w:lang w:val="uk-UA"/>
        </w:rPr>
        <w:t>.</w:t>
      </w:r>
    </w:p>
    <w:p w:rsidR="00273526" w:rsidRPr="00D60C79" w:rsidRDefault="00273526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Цільові державні фонди класифікуються за різними ознаками</w:t>
      </w:r>
      <w:r>
        <w:rPr>
          <w:lang w:val="uk-UA"/>
        </w:rPr>
        <w:t xml:space="preserve"> (</w:t>
      </w:r>
      <w:r w:rsidRPr="00D60C79">
        <w:rPr>
          <w:lang w:val="uk-UA"/>
        </w:rPr>
        <w:t>мал</w:t>
      </w:r>
      <w:r>
        <w:rPr>
          <w:lang w:val="uk-UA"/>
        </w:rPr>
        <w:t>.1</w:t>
      </w:r>
      <w:r w:rsidRPr="00D60C79">
        <w:rPr>
          <w:lang w:val="uk-UA"/>
        </w:rPr>
        <w:t>.):</w:t>
      </w: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  <w:sectPr w:rsidR="00D60C79" w:rsidSect="00D60C79">
          <w:headerReference w:type="default" r:id="rId7"/>
          <w:footerReference w:type="default" r:id="rId8"/>
          <w:type w:val="continuous"/>
          <w:pgSz w:w="11906" w:h="16838"/>
          <w:pgMar w:top="1134" w:right="850" w:bottom="1134" w:left="1701" w:header="680" w:footer="680" w:gutter="0"/>
          <w:cols w:space="708"/>
          <w:titlePg/>
          <w:docGrid w:linePitch="360"/>
        </w:sectPr>
      </w:pPr>
    </w:p>
    <w:p w:rsidR="006D68E8" w:rsidRPr="00D60C79" w:rsidRDefault="00A41C2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Мал</w:t>
      </w:r>
      <w:r w:rsidR="00D60C79">
        <w:rPr>
          <w:lang w:val="uk-UA"/>
        </w:rPr>
        <w:t>.1</w:t>
      </w:r>
      <w:r w:rsidR="00D60C79" w:rsidRPr="00D60C79">
        <w:rPr>
          <w:lang w:val="uk-UA"/>
        </w:rPr>
        <w:t xml:space="preserve">. 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459"/>
        <w:gridCol w:w="429"/>
        <w:gridCol w:w="998"/>
        <w:gridCol w:w="353"/>
        <w:gridCol w:w="280"/>
        <w:gridCol w:w="1407"/>
        <w:gridCol w:w="219"/>
        <w:gridCol w:w="1625"/>
        <w:gridCol w:w="236"/>
        <w:gridCol w:w="135"/>
        <w:gridCol w:w="119"/>
        <w:gridCol w:w="748"/>
        <w:gridCol w:w="316"/>
        <w:gridCol w:w="122"/>
        <w:gridCol w:w="635"/>
        <w:gridCol w:w="505"/>
        <w:gridCol w:w="1267"/>
      </w:tblGrid>
      <w:tr w:rsidR="00A41C2A" w:rsidRPr="00D60C79" w:rsidTr="00A0604E">
        <w:trPr>
          <w:jc w:val="center"/>
        </w:trPr>
        <w:tc>
          <w:tcPr>
            <w:tcW w:w="1843" w:type="dxa"/>
            <w:gridSpan w:val="2"/>
          </w:tcPr>
          <w:p w:rsidR="00BF117C" w:rsidRPr="00D60C79" w:rsidRDefault="00D60C79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 xml:space="preserve"> </w:t>
            </w:r>
            <w:r w:rsidR="00BF117C" w:rsidRPr="00D60C79">
              <w:rPr>
                <w:lang w:val="uk-UA"/>
              </w:rPr>
              <w:t>економічні</w:t>
            </w:r>
          </w:p>
        </w:tc>
        <w:tc>
          <w:tcPr>
            <w:tcW w:w="1794" w:type="dxa"/>
            <w:gridSpan w:val="3"/>
          </w:tcPr>
          <w:p w:rsidR="00BF117C" w:rsidRPr="00D60C79" w:rsidRDefault="00BF117C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соціальні</w:t>
            </w:r>
          </w:p>
        </w:tc>
        <w:tc>
          <w:tcPr>
            <w:tcW w:w="281" w:type="dxa"/>
            <w:vMerge w:val="restart"/>
            <w:tcBorders>
              <w:top w:val="nil"/>
              <w:right w:val="single" w:sz="4" w:space="0" w:color="auto"/>
            </w:tcBorders>
          </w:tcPr>
          <w:p w:rsidR="00BF117C" w:rsidRPr="00D60C79" w:rsidRDefault="00BF117C" w:rsidP="00D60C79">
            <w:pPr>
              <w:pStyle w:val="af9"/>
              <w:rPr>
                <w:lang w:val="uk-UA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auto"/>
            </w:tcBorders>
          </w:tcPr>
          <w:p w:rsidR="00BF117C" w:rsidRPr="00D60C79" w:rsidRDefault="00A6058B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державні</w:t>
            </w:r>
          </w:p>
        </w:tc>
        <w:tc>
          <w:tcPr>
            <w:tcW w:w="1583" w:type="dxa"/>
          </w:tcPr>
          <w:p w:rsidR="00BF117C" w:rsidRPr="00D60C79" w:rsidRDefault="00A6058B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регіональні</w:t>
            </w:r>
          </w:p>
        </w:tc>
        <w:tc>
          <w:tcPr>
            <w:tcW w:w="359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BF117C" w:rsidRPr="00D60C79" w:rsidRDefault="00BF117C" w:rsidP="00D60C79">
            <w:pPr>
              <w:pStyle w:val="af9"/>
              <w:rPr>
                <w:lang w:val="uk-UA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auto"/>
            </w:tcBorders>
          </w:tcPr>
          <w:p w:rsidR="00BF117C" w:rsidRPr="00D60C79" w:rsidRDefault="00A6058B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постійні</w:t>
            </w:r>
          </w:p>
        </w:tc>
        <w:tc>
          <w:tcPr>
            <w:tcW w:w="1790" w:type="dxa"/>
            <w:gridSpan w:val="2"/>
          </w:tcPr>
          <w:p w:rsidR="00BF117C" w:rsidRPr="00D60C79" w:rsidRDefault="00A6058B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тимчасові</w:t>
            </w:r>
          </w:p>
        </w:tc>
      </w:tr>
      <w:tr w:rsidR="00A41C2A" w:rsidRPr="00D60C79" w:rsidTr="00A0604E">
        <w:trPr>
          <w:jc w:val="center"/>
        </w:trPr>
        <w:tc>
          <w:tcPr>
            <w:tcW w:w="3637" w:type="dxa"/>
            <w:gridSpan w:val="5"/>
          </w:tcPr>
          <w:p w:rsidR="00A6058B" w:rsidRPr="00D60C79" w:rsidRDefault="00D60C79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 xml:space="preserve"> </w:t>
            </w:r>
            <w:r w:rsidR="00A6058B" w:rsidRPr="00D60C79">
              <w:rPr>
                <w:lang w:val="uk-UA"/>
              </w:rPr>
              <w:t>За</w:t>
            </w:r>
            <w:r w:rsidRPr="00D60C79">
              <w:rPr>
                <w:lang w:val="uk-UA"/>
              </w:rPr>
              <w:t xml:space="preserve"> </w:t>
            </w:r>
            <w:r w:rsidR="00A6058B" w:rsidRPr="00D60C79">
              <w:rPr>
                <w:lang w:val="uk-UA"/>
              </w:rPr>
              <w:t>цільовим</w:t>
            </w:r>
            <w:r w:rsidRPr="00D60C79">
              <w:rPr>
                <w:lang w:val="uk-UA"/>
              </w:rPr>
              <w:t xml:space="preserve"> </w:t>
            </w:r>
            <w:r w:rsidR="00A6058B" w:rsidRPr="00D60C79">
              <w:rPr>
                <w:lang w:val="uk-UA"/>
              </w:rPr>
              <w:t>призначенням</w:t>
            </w:r>
          </w:p>
        </w:tc>
        <w:tc>
          <w:tcPr>
            <w:tcW w:w="281" w:type="dxa"/>
            <w:vMerge/>
            <w:tcBorders>
              <w:bottom w:val="nil"/>
              <w:right w:val="single" w:sz="4" w:space="0" w:color="auto"/>
            </w:tcBorders>
          </w:tcPr>
          <w:p w:rsidR="00A6058B" w:rsidRPr="00D60C79" w:rsidRDefault="00A6058B" w:rsidP="00D60C79">
            <w:pPr>
              <w:pStyle w:val="af9"/>
              <w:rPr>
                <w:lang w:val="uk-UA"/>
              </w:rPr>
            </w:pPr>
          </w:p>
        </w:tc>
        <w:tc>
          <w:tcPr>
            <w:tcW w:w="3226" w:type="dxa"/>
            <w:gridSpan w:val="3"/>
            <w:tcBorders>
              <w:left w:val="single" w:sz="4" w:space="0" w:color="auto"/>
            </w:tcBorders>
          </w:tcPr>
          <w:p w:rsidR="00A6058B" w:rsidRPr="00D60C79" w:rsidRDefault="00A6058B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за</w:t>
            </w:r>
            <w:r w:rsidR="00D60C79" w:rsidRPr="00D60C79">
              <w:rPr>
                <w:lang w:val="uk-UA"/>
              </w:rPr>
              <w:t xml:space="preserve"> </w:t>
            </w:r>
            <w:r w:rsidRPr="00D60C79">
              <w:rPr>
                <w:lang w:val="uk-UA"/>
              </w:rPr>
              <w:t>рівнем</w:t>
            </w:r>
            <w:r w:rsidR="00D60C79" w:rsidRPr="00D60C79">
              <w:rPr>
                <w:lang w:val="uk-UA"/>
              </w:rPr>
              <w:t xml:space="preserve"> </w:t>
            </w:r>
            <w:r w:rsidRPr="00D60C79">
              <w:rPr>
                <w:lang w:val="uk-UA"/>
              </w:rPr>
              <w:t>управління</w:t>
            </w:r>
          </w:p>
        </w:tc>
        <w:tc>
          <w:tcPr>
            <w:tcW w:w="359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A6058B" w:rsidRPr="00D60C79" w:rsidRDefault="00A6058B" w:rsidP="00D60C79">
            <w:pPr>
              <w:pStyle w:val="af9"/>
              <w:rPr>
                <w:lang w:val="uk-UA"/>
              </w:rPr>
            </w:pPr>
          </w:p>
        </w:tc>
        <w:tc>
          <w:tcPr>
            <w:tcW w:w="3718" w:type="dxa"/>
            <w:gridSpan w:val="7"/>
            <w:tcBorders>
              <w:left w:val="single" w:sz="4" w:space="0" w:color="auto"/>
            </w:tcBorders>
          </w:tcPr>
          <w:p w:rsidR="00A6058B" w:rsidRPr="00D60C79" w:rsidRDefault="00A6058B" w:rsidP="00D60C79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За</w:t>
            </w:r>
            <w:r w:rsidR="00D60C79" w:rsidRPr="00D60C79">
              <w:rPr>
                <w:lang w:val="uk-UA"/>
              </w:rPr>
              <w:t xml:space="preserve"> </w:t>
            </w:r>
            <w:r w:rsidRPr="00D60C79">
              <w:rPr>
                <w:lang w:val="uk-UA"/>
              </w:rPr>
              <w:t>періодом</w:t>
            </w:r>
            <w:r w:rsidR="00D60C79" w:rsidRPr="00D60C79">
              <w:rPr>
                <w:lang w:val="uk-UA"/>
              </w:rPr>
              <w:t xml:space="preserve"> </w:t>
            </w:r>
            <w:r w:rsidRPr="00D60C79">
              <w:rPr>
                <w:lang w:val="uk-UA"/>
              </w:rPr>
              <w:t>функціонування</w:t>
            </w:r>
          </w:p>
        </w:tc>
      </w:tr>
      <w:tr w:rsidR="00A6058B" w:rsidRPr="00D60C79" w:rsidTr="00A06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After w:w="2418" w:type="dxa"/>
          <w:trHeight w:val="330"/>
          <w:jc w:val="center"/>
        </w:trPr>
        <w:tc>
          <w:tcPr>
            <w:tcW w:w="431" w:type="dxa"/>
            <w:tcBorders>
              <w:left w:val="nil"/>
            </w:tcBorders>
          </w:tcPr>
          <w:p w:rsidR="00BF117C" w:rsidRPr="00D60C79" w:rsidRDefault="00BF117C" w:rsidP="00D60C79">
            <w:pPr>
              <w:pStyle w:val="af9"/>
              <w:rPr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bottom w:val="nil"/>
            </w:tcBorders>
          </w:tcPr>
          <w:p w:rsidR="00BF117C" w:rsidRPr="00D60C79" w:rsidRDefault="00BF117C" w:rsidP="00D60C79">
            <w:pPr>
              <w:pStyle w:val="af9"/>
              <w:rPr>
                <w:lang w:val="en-US"/>
              </w:rPr>
            </w:pPr>
          </w:p>
        </w:tc>
        <w:tc>
          <w:tcPr>
            <w:tcW w:w="3164" w:type="dxa"/>
            <w:gridSpan w:val="6"/>
            <w:tcBorders>
              <w:top w:val="nil"/>
            </w:tcBorders>
          </w:tcPr>
          <w:p w:rsidR="00BF117C" w:rsidRPr="00D60C79" w:rsidRDefault="00BF117C" w:rsidP="00D60C79">
            <w:pPr>
              <w:pStyle w:val="af9"/>
              <w:rPr>
                <w:lang w:val="en-US"/>
              </w:rPr>
            </w:pPr>
          </w:p>
        </w:tc>
      </w:tr>
      <w:tr w:rsidR="00BF117C" w:rsidRPr="00D60C79" w:rsidTr="00A0604E">
        <w:trPr>
          <w:gridAfter w:val="1"/>
          <w:wAfter w:w="1222" w:type="dxa"/>
          <w:jc w:val="center"/>
        </w:trPr>
        <w:tc>
          <w:tcPr>
            <w:tcW w:w="9999" w:type="dxa"/>
            <w:gridSpan w:val="17"/>
          </w:tcPr>
          <w:p w:rsidR="00BF117C" w:rsidRPr="00D60C79" w:rsidRDefault="00D60C79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 xml:space="preserve"> </w:t>
            </w:r>
            <w:r w:rsidR="00A6058B" w:rsidRPr="00D60C79">
              <w:rPr>
                <w:bCs/>
                <w:lang w:val="uk-UA"/>
              </w:rPr>
              <w:t>Класифікаційні</w:t>
            </w:r>
            <w:r w:rsidRPr="00D60C79">
              <w:rPr>
                <w:bCs/>
                <w:lang w:val="uk-UA"/>
              </w:rPr>
              <w:t xml:space="preserve"> </w:t>
            </w:r>
            <w:r w:rsidR="00A6058B" w:rsidRPr="00D60C79">
              <w:rPr>
                <w:bCs/>
                <w:lang w:val="uk-UA"/>
              </w:rPr>
              <w:t>ознаки</w:t>
            </w:r>
          </w:p>
        </w:tc>
      </w:tr>
      <w:tr w:rsidR="00A6058B" w:rsidRPr="00D60C79" w:rsidTr="00A06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3"/>
          <w:wAfter w:w="2373" w:type="dxa"/>
          <w:trHeight w:val="330"/>
          <w:jc w:val="center"/>
        </w:trPr>
        <w:tc>
          <w:tcPr>
            <w:tcW w:w="3718" w:type="dxa"/>
            <w:gridSpan w:val="6"/>
            <w:tcBorders>
              <w:top w:val="nil"/>
              <w:bottom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2845" w:type="dxa"/>
            <w:gridSpan w:val="5"/>
            <w:tcBorders>
              <w:top w:val="nil"/>
              <w:bottom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442" w:type="dxa"/>
            <w:gridSpan w:val="2"/>
            <w:tcBorders>
              <w:righ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</w:tr>
      <w:tr w:rsidR="00A6058B" w:rsidRPr="00D60C79" w:rsidTr="00A0604E">
        <w:trPr>
          <w:jc w:val="center"/>
        </w:trPr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За</w:t>
            </w:r>
            <w:r w:rsidR="00D60C79" w:rsidRPr="00D60C79">
              <w:rPr>
                <w:bCs/>
                <w:lang w:val="uk-UA"/>
              </w:rPr>
              <w:t xml:space="preserve"> </w:t>
            </w:r>
            <w:r w:rsidRPr="00D60C79">
              <w:rPr>
                <w:bCs/>
                <w:lang w:val="uk-UA"/>
              </w:rPr>
              <w:t>джерелами</w:t>
            </w:r>
            <w:r w:rsidR="00D60C79" w:rsidRPr="00D60C79">
              <w:rPr>
                <w:bCs/>
                <w:lang w:val="uk-UA"/>
              </w:rPr>
              <w:t xml:space="preserve"> </w:t>
            </w:r>
            <w:r w:rsidR="00273526">
              <w:rPr>
                <w:bCs/>
                <w:lang w:val="uk-UA"/>
              </w:rPr>
              <w:t>фінансу</w:t>
            </w:r>
            <w:r w:rsidRPr="00D60C79">
              <w:rPr>
                <w:bCs/>
                <w:lang w:val="uk-UA"/>
              </w:rPr>
              <w:t>вання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3565" w:type="dxa"/>
            <w:gridSpan w:val="4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За</w:t>
            </w:r>
            <w:r w:rsidR="00D60C79" w:rsidRPr="00D60C79">
              <w:rPr>
                <w:bCs/>
                <w:lang w:val="uk-UA"/>
              </w:rPr>
              <w:t xml:space="preserve"> </w:t>
            </w:r>
            <w:r w:rsidRPr="00D60C79">
              <w:rPr>
                <w:bCs/>
                <w:lang w:val="uk-UA"/>
              </w:rPr>
              <w:t>економічним</w:t>
            </w:r>
            <w:r w:rsidR="00D60C79" w:rsidRPr="00D60C79">
              <w:rPr>
                <w:bCs/>
                <w:lang w:val="uk-UA"/>
              </w:rPr>
              <w:t xml:space="preserve"> </w:t>
            </w:r>
            <w:r w:rsidRPr="00D60C79">
              <w:rPr>
                <w:bCs/>
                <w:lang w:val="uk-UA"/>
              </w:rPr>
              <w:t>змістом</w:t>
            </w:r>
          </w:p>
        </w:tc>
        <w:tc>
          <w:tcPr>
            <w:tcW w:w="223" w:type="dxa"/>
            <w:vMerge w:val="restart"/>
            <w:tcBorders>
              <w:top w:val="nil"/>
              <w:righ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2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3571" w:type="dxa"/>
            <w:gridSpan w:val="6"/>
            <w:tcBorders>
              <w:left w:val="single" w:sz="4" w:space="0" w:color="auto"/>
            </w:tcBorders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За</w:t>
            </w:r>
            <w:r w:rsidR="00D60C79" w:rsidRPr="00D60C79">
              <w:rPr>
                <w:bCs/>
                <w:lang w:val="uk-UA"/>
              </w:rPr>
              <w:t xml:space="preserve"> </w:t>
            </w:r>
            <w:r w:rsidRPr="00D60C79">
              <w:rPr>
                <w:bCs/>
                <w:lang w:val="uk-UA"/>
              </w:rPr>
              <w:t>юридичним</w:t>
            </w:r>
            <w:r w:rsidR="00D60C79" w:rsidRPr="00D60C79">
              <w:rPr>
                <w:bCs/>
                <w:lang w:val="uk-UA"/>
              </w:rPr>
              <w:t xml:space="preserve"> </w:t>
            </w:r>
            <w:r w:rsidRPr="00D60C79">
              <w:rPr>
                <w:bCs/>
                <w:lang w:val="uk-UA"/>
              </w:rPr>
              <w:t>захистом</w:t>
            </w:r>
          </w:p>
        </w:tc>
      </w:tr>
      <w:tr w:rsidR="00A41C2A" w:rsidRPr="00D60C79" w:rsidTr="00A0604E">
        <w:trPr>
          <w:jc w:val="center"/>
        </w:trPr>
        <w:tc>
          <w:tcPr>
            <w:tcW w:w="1378" w:type="dxa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бюджетні</w:t>
            </w: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позабюджетні</w:t>
            </w:r>
          </w:p>
        </w:tc>
        <w:tc>
          <w:tcPr>
            <w:tcW w:w="356" w:type="dxa"/>
            <w:vMerge/>
            <w:tcBorders>
              <w:left w:val="single" w:sz="4" w:space="0" w:color="auto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інвестиційні</w:t>
            </w:r>
          </w:p>
        </w:tc>
        <w:tc>
          <w:tcPr>
            <w:tcW w:w="1863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позичкові</w:t>
            </w:r>
          </w:p>
        </w:tc>
        <w:tc>
          <w:tcPr>
            <w:tcW w:w="223" w:type="dxa"/>
            <w:vMerge/>
            <w:tcBorders>
              <w:righ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2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1781" w:type="dxa"/>
            <w:gridSpan w:val="4"/>
            <w:tcBorders>
              <w:left w:val="single" w:sz="4" w:space="0" w:color="auto"/>
            </w:tcBorders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державні</w:t>
            </w:r>
          </w:p>
        </w:tc>
        <w:tc>
          <w:tcPr>
            <w:tcW w:w="1790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Змішані</w:t>
            </w:r>
          </w:p>
        </w:tc>
      </w:tr>
      <w:tr w:rsidR="00A41C2A" w:rsidRPr="00D60C79" w:rsidTr="00A0604E">
        <w:trPr>
          <w:jc w:val="center"/>
        </w:trPr>
        <w:tc>
          <w:tcPr>
            <w:tcW w:w="3281" w:type="dxa"/>
            <w:gridSpan w:val="4"/>
            <w:vMerge w:val="restart"/>
            <w:tcBorders>
              <w:left w:val="nil"/>
              <w:righ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356" w:type="dxa"/>
            <w:vMerge/>
            <w:tcBorders>
              <w:lef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військові</w:t>
            </w:r>
          </w:p>
        </w:tc>
        <w:tc>
          <w:tcPr>
            <w:tcW w:w="1863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науково</w:t>
            </w:r>
            <w:r w:rsidR="00D60C79" w:rsidRPr="00D60C79">
              <w:rPr>
                <w:bCs/>
                <w:lang w:val="uk-UA"/>
              </w:rPr>
              <w:t xml:space="preserve"> - </w:t>
            </w:r>
            <w:r w:rsidRPr="00D60C79">
              <w:rPr>
                <w:bCs/>
                <w:lang w:val="uk-UA"/>
              </w:rPr>
              <w:t>дос-лідні</w:t>
            </w:r>
          </w:p>
        </w:tc>
        <w:tc>
          <w:tcPr>
            <w:tcW w:w="223" w:type="dxa"/>
            <w:vMerge/>
            <w:tcBorders>
              <w:righ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22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1781" w:type="dxa"/>
            <w:gridSpan w:val="4"/>
            <w:tcBorders>
              <w:left w:val="single" w:sz="4" w:space="0" w:color="auto"/>
            </w:tcBorders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Громадських</w:t>
            </w:r>
            <w:r w:rsidR="00D60C79" w:rsidRPr="00D60C79">
              <w:rPr>
                <w:bCs/>
                <w:lang w:val="uk-UA"/>
              </w:rPr>
              <w:t xml:space="preserve"> </w:t>
            </w:r>
            <w:r w:rsidRPr="00D60C79">
              <w:rPr>
                <w:bCs/>
                <w:lang w:val="uk-UA"/>
              </w:rPr>
              <w:t>організацій</w:t>
            </w:r>
          </w:p>
        </w:tc>
        <w:tc>
          <w:tcPr>
            <w:tcW w:w="1790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підприємств</w:t>
            </w:r>
          </w:p>
        </w:tc>
      </w:tr>
      <w:tr w:rsidR="00A41C2A" w:rsidRPr="00D60C79" w:rsidTr="00A0604E">
        <w:trPr>
          <w:gridAfter w:val="8"/>
          <w:wAfter w:w="3796" w:type="dxa"/>
          <w:jc w:val="center"/>
        </w:trPr>
        <w:tc>
          <w:tcPr>
            <w:tcW w:w="3281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356" w:type="dxa"/>
            <w:vMerge/>
            <w:tcBorders>
              <w:left w:val="nil"/>
              <w:bottom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Соц</w:t>
            </w:r>
            <w:r w:rsidR="00D60C79" w:rsidRPr="00D60C79">
              <w:rPr>
                <w:bCs/>
                <w:lang w:val="uk-UA"/>
              </w:rPr>
              <w:t xml:space="preserve">. </w:t>
            </w:r>
            <w:r w:rsidRPr="00D60C79">
              <w:rPr>
                <w:bCs/>
                <w:lang w:val="uk-UA"/>
              </w:rPr>
              <w:t>захисту</w:t>
            </w:r>
          </w:p>
        </w:tc>
        <w:tc>
          <w:tcPr>
            <w:tcW w:w="1863" w:type="dxa"/>
            <w:gridSpan w:val="2"/>
          </w:tcPr>
          <w:p w:rsidR="00BF117C" w:rsidRPr="00D60C79" w:rsidRDefault="00A6058B" w:rsidP="00D60C79">
            <w:pPr>
              <w:pStyle w:val="af9"/>
              <w:rPr>
                <w:bCs/>
                <w:lang w:val="uk-UA"/>
              </w:rPr>
            </w:pPr>
            <w:r w:rsidRPr="00D60C79">
              <w:rPr>
                <w:bCs/>
                <w:lang w:val="uk-UA"/>
              </w:rPr>
              <w:t>Соц</w:t>
            </w:r>
            <w:r w:rsidR="00D60C79" w:rsidRPr="00D60C79">
              <w:rPr>
                <w:bCs/>
                <w:lang w:val="uk-UA"/>
              </w:rPr>
              <w:t xml:space="preserve">. </w:t>
            </w:r>
            <w:r w:rsidRPr="00D60C79">
              <w:rPr>
                <w:bCs/>
                <w:lang w:val="uk-UA"/>
              </w:rPr>
              <w:t>розвитку</w:t>
            </w:r>
          </w:p>
        </w:tc>
        <w:tc>
          <w:tcPr>
            <w:tcW w:w="223" w:type="dxa"/>
            <w:vMerge/>
            <w:tcBorders>
              <w:bottom w:val="nil"/>
              <w:right w:val="nil"/>
            </w:tcBorders>
          </w:tcPr>
          <w:p w:rsidR="00BF117C" w:rsidRPr="00D60C79" w:rsidRDefault="00BF117C" w:rsidP="00D60C79">
            <w:pPr>
              <w:pStyle w:val="af9"/>
              <w:rPr>
                <w:bCs/>
                <w:lang w:val="uk-UA"/>
              </w:rPr>
            </w:pPr>
          </w:p>
        </w:tc>
      </w:tr>
    </w:tbl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273526" w:rsidRDefault="00273526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  <w:sectPr w:rsidR="00273526" w:rsidSect="00D60C79">
          <w:pgSz w:w="16838" w:h="11906" w:orient="landscape"/>
          <w:pgMar w:top="1701" w:right="1134" w:bottom="851" w:left="1134" w:header="680" w:footer="680" w:gutter="0"/>
          <w:cols w:space="708"/>
          <w:titlePg/>
          <w:docGrid w:linePitch="360"/>
        </w:sectPr>
      </w:pPr>
    </w:p>
    <w:p w:rsidR="00273526" w:rsidRPr="00D60C79" w:rsidRDefault="00273526" w:rsidP="0027352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bookmarkStart w:id="1" w:name="_Toc286668888"/>
      <w:r w:rsidRPr="00D60C79">
        <w:rPr>
          <w:lang w:val="uk-UA"/>
        </w:rPr>
        <w:t>В Україні застосовувалися в різні часи такі цільові фонди</w:t>
      </w:r>
      <w:r>
        <w:rPr>
          <w:lang w:val="uk-UA"/>
        </w:rPr>
        <w:t xml:space="preserve"> (</w:t>
      </w:r>
      <w:r w:rsidRPr="00D60C79">
        <w:rPr>
          <w:lang w:val="uk-UA"/>
        </w:rPr>
        <w:t>мал</w:t>
      </w:r>
      <w:r>
        <w:rPr>
          <w:lang w:val="uk-UA"/>
        </w:rPr>
        <w:t>.2</w:t>
      </w:r>
      <w:r w:rsidRPr="00D60C79">
        <w:rPr>
          <w:lang w:val="uk-UA"/>
        </w:rPr>
        <w:t>).</w:t>
      </w:r>
    </w:p>
    <w:p w:rsidR="00273526" w:rsidRDefault="00273526" w:rsidP="0027352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273526" w:rsidRPr="00D60C79" w:rsidRDefault="00273526" w:rsidP="0027352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</w:pPr>
      <w:r w:rsidRPr="00D60C79">
        <w:rPr>
          <w:lang w:val="uk-UA"/>
        </w:rPr>
        <w:t>Мал</w:t>
      </w:r>
      <w:r>
        <w:rPr>
          <w:lang w:val="uk-UA"/>
        </w:rPr>
        <w:t>.2</w:t>
      </w:r>
      <w:r w:rsidRPr="00D60C79">
        <w:rPr>
          <w:lang w:val="uk-UA"/>
        </w:rPr>
        <w:t xml:space="preserve">. </w:t>
      </w:r>
    </w:p>
    <w:tbl>
      <w:tblPr>
        <w:tblW w:w="8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"/>
        <w:gridCol w:w="4566"/>
        <w:gridCol w:w="236"/>
        <w:gridCol w:w="1078"/>
        <w:gridCol w:w="2681"/>
      </w:tblGrid>
      <w:tr w:rsidR="00273526" w:rsidRPr="00D60C79" w:rsidTr="00273526">
        <w:trPr>
          <w:jc w:val="center"/>
        </w:trPr>
        <w:tc>
          <w:tcPr>
            <w:tcW w:w="8885" w:type="dxa"/>
            <w:gridSpan w:val="5"/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Основні загально цільові фонди України</w:t>
            </w:r>
          </w:p>
        </w:tc>
      </w:tr>
      <w:tr w:rsidR="00273526" w:rsidRPr="00D60C79" w:rsidTr="00273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81" w:type="dxa"/>
          <w:trHeight w:val="330"/>
          <w:jc w:val="center"/>
        </w:trPr>
        <w:tc>
          <w:tcPr>
            <w:tcW w:w="324" w:type="dxa"/>
            <w:tcBorders>
              <w:left w:val="nil"/>
            </w:tcBorders>
          </w:tcPr>
          <w:p w:rsidR="00273526" w:rsidRPr="00D60C79" w:rsidRDefault="00273526" w:rsidP="00296F48">
            <w:pPr>
              <w:pStyle w:val="af9"/>
              <w:rPr>
                <w:b/>
                <w:lang w:val="uk-UA"/>
              </w:rPr>
            </w:pPr>
          </w:p>
        </w:tc>
        <w:tc>
          <w:tcPr>
            <w:tcW w:w="5880" w:type="dxa"/>
            <w:gridSpan w:val="3"/>
            <w:tcBorders>
              <w:top w:val="nil"/>
              <w:bottom w:val="nil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</w:tr>
      <w:tr w:rsidR="00273526" w:rsidRPr="00D60C79" w:rsidTr="00273526">
        <w:trPr>
          <w:jc w:val="center"/>
        </w:trPr>
        <w:tc>
          <w:tcPr>
            <w:tcW w:w="4890" w:type="dxa"/>
            <w:gridSpan w:val="2"/>
            <w:tcBorders>
              <w:righ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Постійні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Тимчасові</w:t>
            </w:r>
          </w:p>
        </w:tc>
      </w:tr>
      <w:tr w:rsidR="00273526" w:rsidRPr="00D60C79" w:rsidTr="00273526">
        <w:trPr>
          <w:jc w:val="center"/>
        </w:trPr>
        <w:tc>
          <w:tcPr>
            <w:tcW w:w="4890" w:type="dxa"/>
            <w:gridSpan w:val="2"/>
            <w:tcBorders>
              <w:righ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Пенсійний фонд України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Фонд ліквідації наслідків Чорнобильської катастрофи і соціального захисту населення</w:t>
            </w:r>
          </w:p>
        </w:tc>
      </w:tr>
      <w:tr w:rsidR="00273526" w:rsidRPr="00D60C79" w:rsidTr="00273526">
        <w:trPr>
          <w:trHeight w:val="315"/>
          <w:jc w:val="center"/>
        </w:trPr>
        <w:tc>
          <w:tcPr>
            <w:tcW w:w="4890" w:type="dxa"/>
            <w:gridSpan w:val="2"/>
            <w:vMerge w:val="restart"/>
            <w:tcBorders>
              <w:righ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Фонд соціального страхування з тимчасової втрати працездатності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Інноваційний фонд</w:t>
            </w:r>
          </w:p>
        </w:tc>
      </w:tr>
      <w:tr w:rsidR="00273526" w:rsidRPr="00D60C79" w:rsidTr="00273526">
        <w:trPr>
          <w:trHeight w:val="330"/>
          <w:jc w:val="center"/>
        </w:trPr>
        <w:tc>
          <w:tcPr>
            <w:tcW w:w="4890" w:type="dxa"/>
            <w:gridSpan w:val="2"/>
            <w:vMerge/>
            <w:tcBorders>
              <w:righ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Фонд охорони праці</w:t>
            </w:r>
          </w:p>
        </w:tc>
      </w:tr>
      <w:tr w:rsidR="00273526" w:rsidRPr="00D60C79" w:rsidTr="00273526">
        <w:trPr>
          <w:trHeight w:val="405"/>
          <w:jc w:val="center"/>
        </w:trPr>
        <w:tc>
          <w:tcPr>
            <w:tcW w:w="4890" w:type="dxa"/>
            <w:gridSpan w:val="2"/>
            <w:vMerge w:val="restart"/>
            <w:tcBorders>
              <w:righ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Фонд загальнообов’язкового соціального страхування на випадок безробіття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3759" w:type="dxa"/>
            <w:gridSpan w:val="2"/>
            <w:tcBorders>
              <w:bottom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Фонд сприяння конверсії</w:t>
            </w:r>
          </w:p>
        </w:tc>
      </w:tr>
      <w:tr w:rsidR="00273526" w:rsidRPr="00D60C79" w:rsidTr="00273526">
        <w:trPr>
          <w:trHeight w:val="555"/>
          <w:jc w:val="center"/>
        </w:trPr>
        <w:tc>
          <w:tcPr>
            <w:tcW w:w="4890" w:type="dxa"/>
            <w:gridSpan w:val="2"/>
            <w:vMerge/>
            <w:tcBorders>
              <w:righ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Фонд охорони навколишнього природного середовища</w:t>
            </w:r>
          </w:p>
        </w:tc>
      </w:tr>
      <w:tr w:rsidR="00273526" w:rsidRPr="00D60C79" w:rsidTr="00273526">
        <w:trPr>
          <w:gridAfter w:val="3"/>
          <w:wAfter w:w="3995" w:type="dxa"/>
          <w:trHeight w:val="1015"/>
          <w:jc w:val="center"/>
        </w:trPr>
        <w:tc>
          <w:tcPr>
            <w:tcW w:w="4890" w:type="dxa"/>
            <w:gridSpan w:val="2"/>
            <w:tcBorders>
              <w:right w:val="single" w:sz="4" w:space="0" w:color="auto"/>
            </w:tcBorders>
          </w:tcPr>
          <w:p w:rsidR="00273526" w:rsidRPr="00D60C79" w:rsidRDefault="00273526" w:rsidP="00296F48">
            <w:pPr>
              <w:pStyle w:val="af9"/>
              <w:rPr>
                <w:lang w:val="uk-UA"/>
              </w:rPr>
            </w:pPr>
            <w:r w:rsidRPr="00D60C79">
              <w:rPr>
                <w:lang w:val="uk-UA"/>
              </w:rPr>
              <w:t>Фонд соціального страхування від нещасних випадків на виробництві та професійних захворювань</w:t>
            </w:r>
          </w:p>
        </w:tc>
      </w:tr>
    </w:tbl>
    <w:p w:rsidR="00273526" w:rsidRDefault="00273526" w:rsidP="00D60C79">
      <w:pPr>
        <w:pStyle w:val="1"/>
        <w:rPr>
          <w:lang w:val="uk-UA"/>
        </w:rPr>
      </w:pPr>
    </w:p>
    <w:p w:rsidR="00D60C79" w:rsidRDefault="00AD0BF9" w:rsidP="00D60C79">
      <w:pPr>
        <w:pStyle w:val="1"/>
        <w:rPr>
          <w:lang w:val="uk-UA"/>
        </w:rPr>
      </w:pP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: </w:t>
      </w:r>
      <w:r w:rsidRPr="00D60C79">
        <w:rPr>
          <w:lang w:val="uk-UA"/>
        </w:rPr>
        <w:t>призначення,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джерела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напрями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bookmarkEnd w:id="1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>
        <w:rPr>
          <w:lang w:val="uk-UA"/>
        </w:rPr>
        <w:t xml:space="preserve">" </w:t>
      </w:r>
      <w:r w:rsidRPr="00D60C79">
        <w:rPr>
          <w:lang w:val="uk-UA"/>
        </w:rPr>
        <w:t>було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створено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самостійну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фінансово-банківську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систему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входять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крім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Бюджет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передусім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відраховують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>.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відображає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постійної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працездатності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Формою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пенсії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Найбільшу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частину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посідають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обов'язкові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>.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b/>
          <w:bCs/>
          <w:lang w:val="uk-UA"/>
        </w:rPr>
        <w:t>Пенсійний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b/>
          <w:bCs/>
          <w:lang w:val="uk-UA"/>
        </w:rPr>
        <w:t>Фонд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i/>
          <w:iCs/>
          <w:lang w:val="uk-UA"/>
        </w:rPr>
        <w:t>Джерела</w:t>
      </w:r>
      <w:r w:rsidR="00D60C79" w:rsidRPr="00D60C79">
        <w:rPr>
          <w:i/>
          <w:iCs/>
          <w:lang w:val="uk-UA"/>
        </w:rPr>
        <w:t xml:space="preserve"> </w:t>
      </w:r>
      <w:r w:rsidRPr="00D60C79">
        <w:rPr>
          <w:i/>
          <w:iCs/>
          <w:lang w:val="uk-UA"/>
        </w:rPr>
        <w:t>доходів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Обов'язкові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Кошти,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регресними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вимогами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Цільові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військовослужбовцям,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внутрішніх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справ,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дитинства</w:t>
      </w:r>
      <w:r w:rsidR="00D60C79" w:rsidRPr="00D60C79">
        <w:rPr>
          <w:lang w:val="uk-UA"/>
        </w:rPr>
        <w:t>.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4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Доходи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5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Добровільні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пожертвування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6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надходження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i/>
          <w:iCs/>
          <w:lang w:val="uk-UA"/>
        </w:rPr>
        <w:t>Напрями</w:t>
      </w:r>
      <w:r w:rsidR="00D60C79" w:rsidRPr="00D60C79">
        <w:rPr>
          <w:i/>
          <w:iCs/>
          <w:lang w:val="uk-UA"/>
        </w:rPr>
        <w:t xml:space="preserve"> </w:t>
      </w:r>
      <w:r w:rsidRPr="00D60C79">
        <w:rPr>
          <w:i/>
          <w:iCs/>
          <w:lang w:val="uk-UA"/>
        </w:rPr>
        <w:t>видатків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Виплата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>: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віком</w:t>
      </w:r>
      <w:r w:rsidR="00D60C79" w:rsidRPr="00D60C79">
        <w:rPr>
          <w:lang w:val="uk-UA"/>
        </w:rPr>
        <w:t>;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інвалідністю</w:t>
      </w:r>
      <w:r w:rsidR="00D60C79" w:rsidRPr="00D60C79">
        <w:rPr>
          <w:lang w:val="uk-UA"/>
        </w:rPr>
        <w:t>;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годувальника</w:t>
      </w:r>
      <w:r w:rsidR="00D60C79" w:rsidRPr="00D60C79">
        <w:rPr>
          <w:lang w:val="uk-UA"/>
        </w:rPr>
        <w:t>;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соціальних</w:t>
      </w:r>
      <w:r w:rsidR="00D60C79" w:rsidRPr="00D60C79">
        <w:rPr>
          <w:lang w:val="uk-UA"/>
        </w:rPr>
        <w:t>;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видів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Реалізація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підтримки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пенсіонерів,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дітей,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категорій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потребують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</w:p>
    <w:p w:rsidR="00D60C79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Утримання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>.</w:t>
      </w:r>
    </w:p>
    <w:p w:rsidR="006D68E8" w:rsidRPr="00D60C79" w:rsidRDefault="006D68E8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4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Організація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проведення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масово-роз'яснювальної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</w:p>
    <w:p w:rsidR="00D60C79" w:rsidRPr="00D60C79" w:rsidRDefault="003766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Безпосередньо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зараховуються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платежі,</w:t>
      </w:r>
      <w:r w:rsidR="00D60C79" w:rsidRPr="00D60C79">
        <w:rPr>
          <w:lang w:val="uk-UA"/>
        </w:rPr>
        <w:t xml:space="preserve"> </w:t>
      </w:r>
      <w:r w:rsidR="004E4117" w:rsidRPr="00D60C79">
        <w:rPr>
          <w:lang w:val="uk-UA"/>
        </w:rPr>
        <w:t>і</w:t>
      </w:r>
      <w:r w:rsidRPr="00D60C79">
        <w:rPr>
          <w:lang w:val="uk-UA"/>
        </w:rPr>
        <w:t>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обов'язкові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зараховуються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використовуються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>.</w:t>
      </w:r>
    </w:p>
    <w:p w:rsidR="00D60C79" w:rsidRPr="00D60C79" w:rsidRDefault="003766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Касове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поштово-пенсійний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Аваль</w:t>
      </w:r>
      <w:r w:rsidR="00D60C79">
        <w:rPr>
          <w:lang w:val="uk-UA"/>
        </w:rPr>
        <w:t>"</w:t>
      </w:r>
      <w:r w:rsidR="00D60C79" w:rsidRPr="00D60C79">
        <w:rPr>
          <w:lang w:val="uk-UA"/>
        </w:rPr>
        <w:t>.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Головні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завдання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такі</w:t>
      </w:r>
      <w:r w:rsidR="00D60C79" w:rsidRPr="00D60C79">
        <w:rPr>
          <w:lang w:val="uk-UA"/>
        </w:rPr>
        <w:t xml:space="preserve">: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>
        <w:rPr>
          <w:lang w:val="uk-UA"/>
        </w:rPr>
        <w:t>"</w:t>
      </w:r>
      <w:r w:rsidRPr="00D60C79">
        <w:rPr>
          <w:lang w:val="uk-UA"/>
        </w:rPr>
        <w:t>,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статус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постраждали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внаслідок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>
        <w:rPr>
          <w:lang w:val="uk-UA"/>
        </w:rPr>
        <w:t>"</w:t>
      </w:r>
      <w:r w:rsidRPr="00D60C79">
        <w:rPr>
          <w:lang w:val="uk-UA"/>
        </w:rPr>
        <w:t>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військовослужбовцям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внутрішніх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справ,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дітей,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покладених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чинним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цей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збирання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акумуляція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розширене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відтворення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принципів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самофінансування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участь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підтримки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пенсіонерів,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категорій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здоров'я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пенсіонерів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через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компанії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організація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міжнародного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співробітництва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сфері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зокрема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виїхали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контроль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своєчасним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розробка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одночасно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погодженням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Мінфіном,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Мінсоцзабезом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пропозицій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запровадження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тарифів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урахуванням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Кабінету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визначення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порядку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контролю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правильним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витрачанням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прийняття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Мінпраці,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Мінфіном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Мінсоцзабезом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рішень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пільгових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залежно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небезпечності,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шкідливості,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тяжкості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умов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участь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підготовці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пропозицій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розвитку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підвищення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рівня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народного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добробуту,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проектів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міжурядових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договорів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угод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питань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прибули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проживання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виїхали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межі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участь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підготовці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нормативних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спрямованих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удосконалення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системи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порядку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підвищення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зміною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індексу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споживчих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підвищення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>.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займатися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комерційною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діяльністю,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головними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напрямами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такі</w:t>
      </w:r>
      <w:r w:rsidR="00D60C79" w:rsidRPr="00D60C79">
        <w:rPr>
          <w:lang w:val="uk-UA"/>
        </w:rPr>
        <w:t>: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вкладення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коротко</w:t>
      </w:r>
      <w:r w:rsidR="00D60C79" w:rsidRPr="00D60C79">
        <w:rPr>
          <w:lang w:val="uk-UA"/>
        </w:rPr>
        <w:t xml:space="preserve"> -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довгострокові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кредити,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папери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акціонерних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товариств,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бірж,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комерційних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банків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створення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участь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комерційних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структурах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банки,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компанії,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торгові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дома,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спільні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акціонерні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товариства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тощо</w:t>
      </w:r>
      <w:r w:rsidR="00D60C79" w:rsidRPr="00D60C79">
        <w:rPr>
          <w:lang w:val="uk-UA"/>
        </w:rPr>
        <w:t>);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проведення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грошово-речових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лотерей,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благодійних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вечорів,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рекламно-інформаційних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благодійні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теле</w:t>
      </w:r>
      <w:r w:rsidR="00D60C79" w:rsidRPr="00D60C79">
        <w:rPr>
          <w:lang w:val="uk-UA"/>
        </w:rPr>
        <w:t xml:space="preserve">-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радіопрограми,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випуски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періодичній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пресі</w:t>
      </w:r>
      <w:r w:rsidR="00D60C79" w:rsidRPr="00D60C79">
        <w:rPr>
          <w:lang w:val="uk-UA"/>
        </w:rPr>
        <w:t>).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незалежно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господарювання,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наймають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окремих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угодами,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займаються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підприємницькою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діяльністю,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заснованою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особистій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фізичної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виключно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релігійні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установлених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чинним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законодавством</w:t>
      </w:r>
      <w:r w:rsidR="00D60C79" w:rsidRPr="00D60C79">
        <w:rPr>
          <w:lang w:val="uk-UA"/>
        </w:rPr>
        <w:t>.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пільгових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умовах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</w:t>
      </w:r>
      <w:r w:rsidR="00D60C79">
        <w:rPr>
          <w:lang w:val="uk-UA"/>
        </w:rPr>
        <w:t>.1</w:t>
      </w: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>
        <w:rPr>
          <w:lang w:val="uk-UA"/>
        </w:rPr>
        <w:t>"</w:t>
      </w:r>
      <w:r w:rsidRPr="00D60C79">
        <w:rPr>
          <w:lang w:val="uk-UA"/>
        </w:rPr>
        <w:t>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крім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вносять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податкові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встановлюваних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Мінпраці,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Мінфіном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Мінсоцзабезом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.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Порядок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стягнення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добровільних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рахунки,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обліку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затверджує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правління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погодженням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Мінфіном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="009066E4" w:rsidRPr="00D60C79">
        <w:rPr>
          <w:lang w:val="uk-UA"/>
        </w:rPr>
        <w:t>НБУ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використовуються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>: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виплата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віком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числі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працюючим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пенсіонерам</w:t>
      </w:r>
      <w:r w:rsidR="00D60C79" w:rsidRPr="00D60C79">
        <w:rPr>
          <w:lang w:val="uk-UA"/>
        </w:rPr>
        <w:t xml:space="preserve">),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інвалідністю,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годувальника,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вислугу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установлених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виплата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догляду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дитиною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щомісячної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кожну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дитину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досягнення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віку,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встановленого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чинним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законодавством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підвищення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зміною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індексу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споживчих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зростанням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реалізація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підтримки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пенсіонерів,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дітей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категорій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поточної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відтворення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зміцнення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матеріально-технічної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бази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системи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організація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роз'яснювальної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серед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завдань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організує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облік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отримує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необхідну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інформацію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підвідомчих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зведені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статистичним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органам,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несе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відповідальність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своєчасне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Автономній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Республіці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Крим,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областях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Києві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штамп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печатку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встановленого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зразка,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банків</w:t>
      </w:r>
      <w:r w:rsidR="00D60C79" w:rsidRPr="00D60C79">
        <w:rPr>
          <w:lang w:val="uk-UA"/>
        </w:rPr>
        <w:t>.</w:t>
      </w:r>
    </w:p>
    <w:p w:rsidR="000954C9" w:rsidRDefault="00273526" w:rsidP="00D60C79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2" w:name="_Toc286668889"/>
      <w:r w:rsidR="009066E4" w:rsidRPr="00D60C79">
        <w:rPr>
          <w:lang w:val="uk-UA"/>
        </w:rPr>
        <w:t>Ф</w:t>
      </w:r>
      <w:r w:rsidR="000954C9" w:rsidRPr="00D60C79">
        <w:rPr>
          <w:lang w:val="uk-UA"/>
        </w:rPr>
        <w:t>онд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страхування</w:t>
      </w:r>
      <w:bookmarkEnd w:id="2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цілей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Кабінет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Федерації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незалежних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створили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направляється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частина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кооперативів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крім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колгоспів</w:t>
      </w:r>
      <w:r w:rsidR="00D60C79" w:rsidRPr="00D60C79">
        <w:rPr>
          <w:lang w:val="uk-UA"/>
        </w:rPr>
        <w:t xml:space="preserve">), </w:t>
      </w:r>
      <w:r w:rsidRPr="00D60C79">
        <w:rPr>
          <w:lang w:val="uk-UA"/>
        </w:rPr>
        <w:t>розташованих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території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країни,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незалежно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відомчого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підпорядкування,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господарювання,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умовах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оренди,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найму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займаються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індивідуальною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трудовою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діяльністю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Зазначений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самостійною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фінансово-банківською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системою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знаходиться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віданні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оподаткуванню,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грошовим,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митним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зборам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входять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складу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працюючі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наймають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окремих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трудовими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договорами,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чинного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зобов'язані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сплачувати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вносити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>: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одержувані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установленому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порядку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профспілковими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путівки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санаторно-курортне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лікування,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відпочинок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туристичні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подорожі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непрацездатності,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спричиненої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трудовими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каліцтвами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професійними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захворюваннями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результаті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порушень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адміністрацією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правил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безпеки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підвищеною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захворюваністю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травмами,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виникли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окремих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нарахованої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несплати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встановлений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штрафів,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накладених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технічними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інспекторами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профспілкових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посадових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Зазначені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штрафи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стягуються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посадових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адміністрацією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фізичні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вносять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зобов'язані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реєструватися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страхувальники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комітетах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профспілок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тарифами,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установленими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Частину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сплачується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процентному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вираженні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встановлює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Кабінет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нарахо</w:t>
      </w:r>
      <w:r w:rsidR="00E46E7B" w:rsidRPr="00D60C79">
        <w:rPr>
          <w:lang w:val="uk-UA"/>
        </w:rPr>
        <w:t>вують</w:t>
      </w:r>
      <w:r w:rsidR="00D60C79" w:rsidRPr="00D60C79">
        <w:rPr>
          <w:lang w:val="uk-UA"/>
        </w:rPr>
        <w:t xml:space="preserve"> </w:t>
      </w:r>
      <w:r w:rsidR="00E46E7B" w:rsidRPr="00D60C79">
        <w:rPr>
          <w:lang w:val="uk-UA"/>
        </w:rPr>
        <w:t>виходячи</w:t>
      </w:r>
      <w:r w:rsidR="00D60C79" w:rsidRPr="00D60C79">
        <w:rPr>
          <w:lang w:val="uk-UA"/>
        </w:rPr>
        <w:t xml:space="preserve"> </w:t>
      </w:r>
      <w:r w:rsidR="00E46E7B"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="00E46E7B" w:rsidRPr="00D60C79">
        <w:rPr>
          <w:lang w:val="uk-UA"/>
        </w:rPr>
        <w:t>установленого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тарифу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lang w:val="uk-UA"/>
        </w:rPr>
        <w:t>всіх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працюючих,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числі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штатних,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позаштатних,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сезонних,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сумісництвом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разові,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короткострокові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наявності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укладених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письмових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трудових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договорів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нараховують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>: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компенсація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невикористану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відпустку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вихідна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звільненні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різні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грошової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матеріальна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допомога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компенсаційні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добові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відрядження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замість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добових,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відшкодованих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збитків,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завданих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каліцтвом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пошкодженням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здоров'я,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їхньою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роботою</w:t>
      </w:r>
      <w:r w:rsidR="00D60C79" w:rsidRPr="00D60C79">
        <w:rPr>
          <w:lang w:val="uk-UA"/>
        </w:rPr>
        <w:t>);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безплатно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деяким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категоріям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квартир,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комунальних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палива,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проїзних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квитків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спецодягу,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спецвзуття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засобів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індивідуального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мила,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обезжирюючих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засобів,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молока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лікувально-профілактичного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харчування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раціону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безплатного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колективного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харчування,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законодавством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дотації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обіди,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путівок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санаторно-курортне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будинки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відпочинку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розвитку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споживання</w:t>
      </w:r>
      <w:r w:rsidR="00D60C79" w:rsidRPr="00D60C79">
        <w:rPr>
          <w:lang w:val="uk-UA"/>
        </w:rPr>
        <w:t>);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проїзд,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провезення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майна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наймання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приміщення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переведенні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переїзді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місцевості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надбавки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замість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добових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постійна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дорозі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роз'їзний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характер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службовими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поїздками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обслуговуваної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дільниці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заробітна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винагороди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роботу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суботники,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недільники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тощо</w:t>
      </w:r>
      <w:r w:rsidR="00D60C79" w:rsidRPr="00D60C79">
        <w:rPr>
          <w:lang w:val="uk-UA"/>
        </w:rPr>
        <w:t xml:space="preserve">), </w:t>
      </w:r>
      <w:r w:rsidRPr="00D60C79">
        <w:rPr>
          <w:lang w:val="uk-UA"/>
        </w:rPr>
        <w:t>перерахована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благодійних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заохочувальні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включаючи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премії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ювілейними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датами,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днями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народження,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тривалу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сумлінну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активну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громадську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аналогічних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єдиного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>);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грошові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нагороди,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присуджуються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підсумками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змагань,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оглядів,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конкурсів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стипендії,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виплачувані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студентам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аспірантам</w:t>
      </w:r>
      <w:r w:rsidR="00D60C79" w:rsidRPr="00D60C79">
        <w:rPr>
          <w:lang w:val="uk-UA"/>
        </w:rPr>
        <w:t xml:space="preserve">), </w:t>
      </w:r>
      <w:r w:rsidRPr="00D60C79">
        <w:rPr>
          <w:lang w:val="uk-UA"/>
        </w:rPr>
        <w:t>направленим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навчання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відривом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допомога,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виплачувана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молодим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спеціалістам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час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відпустки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після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закінчення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вищого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середнього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навчального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закладу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допомога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пенсії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винагороди,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кооперативами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згідно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договорами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цивільно-правового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характеру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Нараховані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вирахуванням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страхувальники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безготівкових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розрахунків</w:t>
      </w:r>
      <w:r w:rsidR="00D60C79" w:rsidRPr="00D60C79">
        <w:rPr>
          <w:lang w:val="uk-UA"/>
        </w:rPr>
        <w:t xml:space="preserve"> - </w:t>
      </w:r>
      <w:r w:rsidRPr="00D60C79">
        <w:rPr>
          <w:lang w:val="uk-UA"/>
        </w:rPr>
        <w:t>перерахуванням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поточних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кредитних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відділенні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банку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цілі</w:t>
      </w:r>
      <w:r w:rsidR="00D60C79" w:rsidRPr="00D60C79">
        <w:rPr>
          <w:lang w:val="uk-UA"/>
        </w:rPr>
        <w:t>: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непрацездатності,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вагітності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пологах,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народженні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дитини,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поховання</w:t>
      </w:r>
      <w:r w:rsidR="00D60C79" w:rsidRPr="00D60C79">
        <w:rPr>
          <w:lang w:val="uk-UA"/>
        </w:rPr>
        <w:t>;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організацію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санаторно-курортного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відпочинку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трудящих,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дітей,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ветеранів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інвалідів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витрачатися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страхувальниками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лише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згідно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їхнім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встановленому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порядку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страхувальником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каси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через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поточний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бухгалтерії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страхувальника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підставою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законодавчі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нормативні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документи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Допомогу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поточний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другу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половину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місяця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Страхувальники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припиняти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навіть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нарахованих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покривають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оплачені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страхувальником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квартал,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перевищують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нараховану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цей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квартал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різницю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зараховують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кварталу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Контроль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своєчасним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правильністю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страхувальники,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комітети,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територіальні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галузеві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податкова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ревізійні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комісії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профспілкових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>.</w:t>
      </w: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9066E4" w:rsidRPr="00D60C79" w:rsidRDefault="00273526" w:rsidP="00D60C79">
      <w:pPr>
        <w:pStyle w:val="1"/>
        <w:rPr>
          <w:lang w:val="uk-UA"/>
        </w:rPr>
      </w:pPr>
      <w:bookmarkStart w:id="3" w:name="_Toc286668890"/>
      <w:r>
        <w:rPr>
          <w:lang w:val="uk-UA"/>
        </w:rPr>
        <w:br w:type="page"/>
      </w:r>
      <w:r w:rsidR="009066E4" w:rsidRPr="00D60C79">
        <w:rPr>
          <w:lang w:val="uk-UA"/>
        </w:rPr>
        <w:t>Ф</w:t>
      </w:r>
      <w:r w:rsidR="000954C9" w:rsidRPr="00D60C79">
        <w:rPr>
          <w:lang w:val="uk-UA"/>
        </w:rPr>
        <w:t>онд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здійснення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ліквідації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наслідків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катастрофи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захисту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населення</w:t>
      </w:r>
      <w:bookmarkEnd w:id="3"/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утворюється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незалежно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їхньої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підпорядкованості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12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віднесенням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собівартість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Платниками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включаючи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іноземними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інвестиціями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господарську,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підприємницьку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комерційну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діяльність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звільняються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вугільної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промисловості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видобуток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залізної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марганцевої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руд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підземним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способом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будівництво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шахт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творчі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спілки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Українського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товариства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сліпих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Українського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товариства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глухих,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становлять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більш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50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загальної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чисельності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працюючих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соціально-культурні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заклади,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утримуються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профспілкового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путівок,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прибутку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балансі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вони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знаходяться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наукові,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проектні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конструкторські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самостійно,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виходячи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направлених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після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закінчення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кожного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місяця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Платіжне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доручення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одночасно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чеків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заробітної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другу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половину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місяця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Перерахування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грудень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пізніше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28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грудня,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виходячи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листопад,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перерахунком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підсумками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року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зараховуються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несвоєчасне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нараховується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0,3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кожний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прострочення,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починаючи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включно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Належні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відображають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складі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загальногосподарських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обігу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Платники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щокварталу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одночасно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бухгалтерським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податковій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розрахунки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встановленою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формою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Контроль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правильністю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обчислення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своєчасність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податкові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адміністрації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виявлення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належить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перерахувати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більшій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ніж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зазначено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розрахунку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донараховані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10-денний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складання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перевірки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Пеню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нараховують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недоїмки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кожний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прострочення,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включаючи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сплати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Зайві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зараховують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повертають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5-денний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одержання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письмової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заяви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характер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витрачаються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статус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постраждали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внаслідок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>
        <w:rPr>
          <w:lang w:val="uk-UA"/>
        </w:rPr>
        <w:t>"</w:t>
      </w:r>
      <w:r w:rsidRPr="00D60C79">
        <w:rPr>
          <w:lang w:val="uk-UA"/>
        </w:rPr>
        <w:t>,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змін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доповнень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статус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постраждали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внаслідок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>
        <w:rPr>
          <w:lang w:val="uk-UA"/>
        </w:rPr>
        <w:t xml:space="preserve">" </w:t>
      </w:r>
      <w:r w:rsidRPr="00D60C79">
        <w:rPr>
          <w:lang w:val="uk-UA"/>
        </w:rPr>
        <w:t>і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правовий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режим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території,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зазнала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радіоактивного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забруднення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внаслідок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>
        <w:rPr>
          <w:lang w:val="uk-UA"/>
        </w:rPr>
        <w:t>"</w:t>
      </w:r>
      <w:r w:rsidRPr="00D60C79">
        <w:rPr>
          <w:lang w:val="uk-UA"/>
        </w:rPr>
        <w:t>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саме</w:t>
      </w:r>
      <w:r w:rsidR="00D60C79" w:rsidRPr="00D60C79">
        <w:rPr>
          <w:lang w:val="uk-UA"/>
        </w:rPr>
        <w:t xml:space="preserve">: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капітальних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вкладень,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пільг,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пільг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проведення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ліквідації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наслідків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 w:rsidRPr="00D60C79">
        <w:rPr>
          <w:lang w:val="uk-UA"/>
        </w:rPr>
        <w:t>.</w:t>
      </w:r>
    </w:p>
    <w:p w:rsidR="00D60C79" w:rsidRPr="00D60C79" w:rsidRDefault="009066E4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Мінчорнобиль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визначає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ліквідацією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наслідків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</w:t>
      </w:r>
      <w:r w:rsidR="00F82145" w:rsidRPr="00D60C79">
        <w:rPr>
          <w:lang w:val="uk-UA"/>
        </w:rPr>
        <w:t>ним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захистом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) </w:t>
      </w:r>
      <w:r w:rsidR="00F82145" w:rsidRPr="00D60C79">
        <w:rPr>
          <w:lang w:val="uk-UA"/>
        </w:rPr>
        <w:t>річні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обсяги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по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кожному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виду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видатків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розподілом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кварталами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міністерствами,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відомствами,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страхування,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Пенсійному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фонду,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Уряду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Автономної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Республіки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Крим,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виконавчим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комітетам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обласних,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Київської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Севастопольської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міських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Рад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двотижневий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строк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після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затвердження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державного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повідомляє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ці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дані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зазначеним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організаціям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зведеному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вигляді</w:t>
      </w:r>
      <w:r w:rsidR="00D60C79" w:rsidRPr="00D60C79">
        <w:rPr>
          <w:lang w:val="uk-UA"/>
        </w:rPr>
        <w:t xml:space="preserve"> - </w:t>
      </w:r>
      <w:r w:rsidR="00F82145" w:rsidRPr="00D60C79">
        <w:rPr>
          <w:lang w:val="uk-UA"/>
        </w:rPr>
        <w:t>Міністерству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фінансів</w:t>
      </w:r>
      <w:r w:rsidR="00D60C79" w:rsidRPr="00D60C79">
        <w:rPr>
          <w:lang w:val="uk-UA"/>
        </w:rPr>
        <w:t xml:space="preserve"> </w:t>
      </w:r>
      <w:r w:rsidR="00F82145" w:rsidRPr="00D60C79">
        <w:rPr>
          <w:lang w:val="uk-UA"/>
        </w:rPr>
        <w:t>України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реалізацію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ліквідації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наслідків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щомісяця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наявних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ресурсів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підставі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кошторисів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поквартальним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розподілом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статус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постраждали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внаслідок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>
        <w:rPr>
          <w:lang w:val="uk-UA"/>
        </w:rPr>
        <w:t>"</w:t>
      </w:r>
      <w:r w:rsidRPr="00D60C79">
        <w:rPr>
          <w:lang w:val="uk-UA"/>
        </w:rPr>
        <w:t>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змін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доповнень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статус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постраждали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внаслідок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>
        <w:rPr>
          <w:lang w:val="uk-UA"/>
        </w:rPr>
        <w:t>"</w:t>
      </w:r>
      <w:r w:rsidRPr="00D60C79">
        <w:rPr>
          <w:lang w:val="uk-UA"/>
        </w:rPr>
        <w:t>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категоріям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>: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працюючим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</w:t>
      </w:r>
      <w:r w:rsidR="00D60C79" w:rsidRPr="00D60C79">
        <w:rPr>
          <w:lang w:val="uk-UA"/>
        </w:rPr>
        <w:t xml:space="preserve"> - </w:t>
      </w:r>
      <w:r w:rsidRPr="00D60C79">
        <w:rPr>
          <w:lang w:val="uk-UA"/>
        </w:rPr>
        <w:t>підприємствами,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організаціями,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частинами,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працюють,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навчаються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несуть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службу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непрацюючим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пенсіонерам</w:t>
      </w:r>
      <w:r w:rsidR="00D60C79" w:rsidRPr="00D60C79">
        <w:rPr>
          <w:lang w:val="uk-UA"/>
        </w:rPr>
        <w:t xml:space="preserve"> - </w:t>
      </w:r>
      <w:r w:rsidRPr="00D60C79">
        <w:rPr>
          <w:lang w:val="uk-UA"/>
        </w:rPr>
        <w:t>органами,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пенсію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тимчасово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непрацюючим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займаються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підприємницькою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діяльністю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особи,</w:t>
      </w:r>
      <w:r w:rsidR="00D60C79" w:rsidRPr="00D60C79">
        <w:rPr>
          <w:lang w:val="uk-UA"/>
        </w:rPr>
        <w:t xml:space="preserve"> - </w:t>
      </w:r>
      <w:r w:rsidRPr="00D60C79">
        <w:rPr>
          <w:lang w:val="uk-UA"/>
        </w:rPr>
        <w:t>органами,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виконавчої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проживання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дітям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18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років</w:t>
      </w:r>
      <w:r w:rsidR="00D60C79" w:rsidRPr="00D60C79">
        <w:rPr>
          <w:lang w:val="uk-UA"/>
        </w:rPr>
        <w:t xml:space="preserve"> -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навчання,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служби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матері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коли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працює,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батька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замінює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батьків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Виплата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відселенням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самостійним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переселенням,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провадиться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виконкомами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народних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депутатів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попереднім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проживання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Надання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медичних,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житлово-комунальних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позик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медичними,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житлово-комунальними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організаціями,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проживання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Витрати,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пільг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додаткові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пільгових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умовах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стажем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додаткові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щомісячні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годувальника</w:t>
      </w:r>
      <w:r w:rsidR="00D60C79" w:rsidRPr="00D60C79">
        <w:rPr>
          <w:lang w:val="uk-UA"/>
        </w:rPr>
        <w:t xml:space="preserve">),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пенсію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Допомога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виплачуються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підставі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документів,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підтверджують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статус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постраждалих,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письмової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заяви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Вона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громадянином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один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Відповідальність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правильність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своєчасність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несуть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керівники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незалежно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господарювання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10-го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числа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кварталом,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органам,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ліквідації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наслідків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виділених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встановленою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формою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Управління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Автономної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Республіки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Крим,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областей,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Києва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Севастополя,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виділені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ліквідацію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наслідків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Чорнобильської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катастрофи,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20-го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числа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кварталом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Міністерства,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виконавчі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комітети,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Мінфін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Автономної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Республіки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Крим,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виконавчих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комітетів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областей,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Києва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Севастополя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Мінчорнобилю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зведені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Мінчорнобиль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зведений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Мінфіну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Контроль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Мінчорнобиль,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Мінфін,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міністерства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відомства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своєї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компетенції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виконавчі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комітети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народних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депутатів</w:t>
      </w:r>
      <w:r w:rsidR="00D60C79" w:rsidRPr="00D60C79">
        <w:rPr>
          <w:lang w:val="uk-UA"/>
        </w:rPr>
        <w:t>.</w:t>
      </w: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0954C9" w:rsidRDefault="00F82145" w:rsidP="00D60C79">
      <w:pPr>
        <w:pStyle w:val="1"/>
        <w:rPr>
          <w:lang w:val="uk-UA"/>
        </w:rPr>
      </w:pPr>
      <w:bookmarkStart w:id="4" w:name="_Toc286668891"/>
      <w:r w:rsidRPr="00D60C79">
        <w:rPr>
          <w:lang w:val="uk-UA"/>
        </w:rPr>
        <w:t>Ф</w:t>
      </w:r>
      <w:r w:rsidR="000954C9" w:rsidRPr="00D60C79">
        <w:rPr>
          <w:lang w:val="uk-UA"/>
        </w:rPr>
        <w:t>онд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сприяння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населення</w:t>
      </w:r>
      <w:bookmarkEnd w:id="4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сприяння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було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створено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>
        <w:rPr>
          <w:lang w:val="uk-UA"/>
        </w:rPr>
        <w:t>"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Він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самостійною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системою,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створювати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умови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Джерела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такі</w:t>
      </w:r>
      <w:r w:rsidR="00D60C79" w:rsidRPr="00D60C79">
        <w:rPr>
          <w:lang w:val="uk-UA"/>
        </w:rPr>
        <w:t>: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бюджетів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обов'язкові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незалежно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добровільні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зарубіжних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фірм,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надходження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служби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підприємницьким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структурам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цільові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невиконання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квоти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спеціалізованих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працевлаштування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відмови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найму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5</w:t>
      </w:r>
      <w:r w:rsidR="00D60C79" w:rsidRPr="00D60C79">
        <w:rPr>
          <w:lang w:val="uk-UA"/>
        </w:rPr>
        <w:t xml:space="preserve"> </w:t>
      </w:r>
      <w:r w:rsidR="00D60C79">
        <w:rPr>
          <w:lang w:val="uk-UA"/>
        </w:rPr>
        <w:t>% -</w:t>
      </w:r>
      <w:r w:rsidRPr="00D60C79">
        <w:rPr>
          <w:lang w:val="uk-UA"/>
        </w:rPr>
        <w:t>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квоти,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випадках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порушення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інформування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служби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звільненні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робітників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Нормативи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обов'язкових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щороку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Верховна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сприяння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рівнях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Бюджет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сприяння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розробляється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подається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Кабінету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адміністраціям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Державний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центр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обласні,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районні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міські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центри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самостійно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розпоряджаються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Господарським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межах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видаватися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субсидії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підвищенням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рівня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Розмір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субсидій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затверджується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господарські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одержати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кредити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умовах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повернення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строки</w:t>
      </w:r>
      <w:r w:rsidR="00D60C79" w:rsidRPr="00D60C79">
        <w:rPr>
          <w:lang w:val="uk-UA"/>
        </w:rPr>
        <w:t>.</w:t>
      </w:r>
    </w:p>
    <w:p w:rsid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Видані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повернені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стягненню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примусовому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порядку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Відповідальність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правильне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обчислення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своєчасну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покладається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платників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Усі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зобов'язані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зареєструватися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службі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знаходження</w:t>
      </w:r>
      <w:r w:rsidR="00D60C79" w:rsidRPr="00D60C79">
        <w:rPr>
          <w:lang w:val="uk-UA"/>
        </w:rPr>
        <w:t>.</w:t>
      </w:r>
    </w:p>
    <w:p w:rsidR="00273526" w:rsidRPr="00D60C79" w:rsidRDefault="00273526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D60C79" w:rsidRDefault="00F82145" w:rsidP="00D60C79">
      <w:pPr>
        <w:pStyle w:val="1"/>
        <w:rPr>
          <w:lang w:val="uk-UA"/>
        </w:rPr>
      </w:pPr>
      <w:bookmarkStart w:id="5" w:name="_Toc286668892"/>
      <w:r w:rsidRPr="00D60C79">
        <w:rPr>
          <w:lang w:val="uk-UA"/>
        </w:rPr>
        <w:t>Ф</w:t>
      </w:r>
      <w:r w:rsidR="000954C9" w:rsidRPr="00D60C79">
        <w:rPr>
          <w:lang w:val="uk-UA"/>
        </w:rPr>
        <w:t>онд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сприяння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конверсі</w:t>
      </w:r>
      <w:bookmarkEnd w:id="5"/>
    </w:p>
    <w:p w:rsidR="000954C9" w:rsidRPr="00D60C79" w:rsidRDefault="000954C9" w:rsidP="00D60C79">
      <w:pPr>
        <w:rPr>
          <w:lang w:val="uk-UA"/>
        </w:rPr>
      </w:pP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сприяння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конверсії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було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створено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постановою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Кабінету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1992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>: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собівартості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робіт,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 xml:space="preserve">),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випускається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оборонного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комплексу,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надзвичайних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стабілізації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виходу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кризового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стану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50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виручки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продажу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незавершених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будівництвом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об'єктів,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передбачались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озброєнь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цивільному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виробництві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10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амортизаційних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відновлення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конверсії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їхньою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згодою</w:t>
      </w:r>
      <w:r w:rsidR="00D60C79" w:rsidRPr="00D60C79">
        <w:rPr>
          <w:lang w:val="uk-UA"/>
        </w:rPr>
        <w:t>);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частини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одержаних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продажу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озброєнь,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вивільняються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процесі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скорочення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Збройних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Сил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цільових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>;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добровільних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зарубіжних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фізичних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надходжень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зберігаються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окремому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банку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самостійно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собівартості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випускається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оборонного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комплексу,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включаються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щомісяця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виходячи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собівартості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минулий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місяць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Суми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зазначеного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10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амортизаційних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відновлення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визначають,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виходячи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діючих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амортизаційних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Суму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виручки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продажу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незавершеного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будівництва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об'єктів,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передбачались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озброєнь,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продажу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воєнної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озброєнь,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вивільняються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процесі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скорочення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Збройних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Сил,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чинного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законодавства</w:t>
      </w:r>
      <w:r w:rsidR="00D60C79" w:rsidRPr="00D60C79">
        <w:rPr>
          <w:lang w:val="uk-UA"/>
        </w:rPr>
        <w:t>.</w:t>
      </w:r>
    </w:p>
    <w:p w:rsidR="00D60C79" w:rsidRPr="00D60C79" w:rsidRDefault="00F82145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Сума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сприяння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щороку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затверджується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окремим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рядком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Перерахування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щокварталу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пізніше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20-го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числа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наступного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місяця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Розпорядником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Міністерство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машинобудування,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військово-промислового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комплексу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конверсії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використовуються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цілі</w:t>
      </w:r>
      <w:r w:rsidR="00D60C79" w:rsidRPr="00D60C79">
        <w:rPr>
          <w:lang w:val="uk-UA"/>
        </w:rPr>
        <w:t>: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реконструкцію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технічне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переоснащення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випуск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цивільної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числі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народного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споживання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проведення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науково-дослідних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проектно-конструкторських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пов'язаних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розробкою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зразків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цивільної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перепрофілювання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дослідного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>);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здійснення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розробкою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озброєнь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збитків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списання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залишків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товарно-матеріальних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цінностей,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незавершеного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комплектуючих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готової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реалізовані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цивільному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виробництві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покриття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збитків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списання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оборонного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комплексу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їхньої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консервації,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потужностей,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необхідних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озброєнь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захисту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розробкою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озброєнь,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напрямами</w:t>
      </w:r>
      <w:r w:rsidR="00D60C79" w:rsidRPr="00D60C79">
        <w:rPr>
          <w:lang w:val="uk-UA"/>
        </w:rPr>
        <w:t>: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виплата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компенсацій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звільненні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результаті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конверсії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видатків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перекваліфікацію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кадрів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конверсією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утримання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об'єктів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соціально-культурної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сфери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конверсії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поточному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звітному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році,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вилученню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>.</w:t>
      </w: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0954C9" w:rsidRDefault="00E46E7B" w:rsidP="00D60C79">
      <w:pPr>
        <w:pStyle w:val="1"/>
        <w:rPr>
          <w:lang w:val="uk-UA"/>
        </w:rPr>
      </w:pPr>
      <w:bookmarkStart w:id="6" w:name="_Toc286668893"/>
      <w:r w:rsidRPr="00D60C79">
        <w:rPr>
          <w:lang w:val="uk-UA"/>
        </w:rPr>
        <w:t>Д</w:t>
      </w:r>
      <w:r w:rsidR="000954C9" w:rsidRPr="00D60C79">
        <w:rPr>
          <w:lang w:val="uk-UA"/>
        </w:rPr>
        <w:t>ержаний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інноваційний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фонд</w:t>
      </w:r>
      <w:bookmarkEnd w:id="6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політики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сфері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науково-технічної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>
        <w:rPr>
          <w:lang w:val="uk-UA"/>
        </w:rPr>
        <w:t xml:space="preserve">" </w:t>
      </w:r>
      <w:r w:rsidRPr="00D60C79">
        <w:rPr>
          <w:lang w:val="uk-UA"/>
        </w:rPr>
        <w:t>створюється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інноваційний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розвитку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досягнень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відділення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Автономній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Республіці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Крим,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областях,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містах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Києві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Севастополі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виділяються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підтримки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науково-технічної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добровільних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фізичних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відраховують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обсягу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робіт,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віднесенням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собівартість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метою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галузевої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об'єднанням,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дозволяється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перераховувати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70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обсягу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зазначених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позабюджетних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утворюються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міністерствах,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відомствах,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концернах,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корпораціях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формуваннях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галузевих,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міжгалузевих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науково-дослідних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також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освоєння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технологій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виробництва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відділеннях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створені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складу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входять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представники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закладів,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науково-виробничих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промислових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сільськогосподарських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фахівці,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представники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адміністрації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розробляють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пропозиції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визначення</w:t>
      </w:r>
      <w:r w:rsidR="00D60C79" w:rsidRPr="00D60C79">
        <w:rPr>
          <w:lang w:val="uk-UA"/>
        </w:rPr>
        <w:t xml:space="preserve"> </w:t>
      </w:r>
      <w:r w:rsidR="00CC66E7" w:rsidRPr="00D60C79">
        <w:rPr>
          <w:lang w:val="uk-UA"/>
        </w:rPr>
        <w:t>найперспективніших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науково-технічних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програм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проектів,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здійснення,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проектів</w:t>
      </w:r>
      <w:r w:rsidR="00D60C79" w:rsidRPr="00D60C79">
        <w:rPr>
          <w:lang w:val="uk-UA"/>
        </w:rPr>
        <w:t>.</w:t>
      </w: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D60C79" w:rsidRDefault="00E46E7B" w:rsidP="00D60C79">
      <w:pPr>
        <w:pStyle w:val="1"/>
        <w:rPr>
          <w:lang w:val="uk-UA"/>
        </w:rPr>
      </w:pPr>
      <w:bookmarkStart w:id="7" w:name="_Toc286668894"/>
      <w:r w:rsidRPr="00D60C79">
        <w:rPr>
          <w:lang w:val="uk-UA"/>
        </w:rPr>
        <w:t>П</w:t>
      </w:r>
      <w:r w:rsidR="000954C9" w:rsidRPr="00D60C79">
        <w:rPr>
          <w:lang w:val="uk-UA"/>
        </w:rPr>
        <w:t>озабюджетні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місцевого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самоврядування</w:t>
      </w:r>
      <w:bookmarkEnd w:id="7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Органи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самоврядування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рівнів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позабюджетні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джерел</w:t>
      </w:r>
      <w:r w:rsidR="00D60C79" w:rsidRPr="00D60C79">
        <w:rPr>
          <w:lang w:val="uk-UA"/>
        </w:rPr>
        <w:t>: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додаткових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зекономлених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одержаних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організованих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розв'язання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проблем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продажу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об'єктів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міської,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районної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комунальної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продажу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квартир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будинків,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належать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комунальної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цінних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паперів,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придбані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районних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позабюджетних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добровільних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пожертвувань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позик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грошово-речових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лотерей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штрафів,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стягуються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одержання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об'єднаннями,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установами</w:t>
      </w:r>
      <w:r w:rsidR="00D60C79" w:rsidRPr="00D60C79">
        <w:rPr>
          <w:lang w:val="uk-UA"/>
        </w:rPr>
        <w:t xml:space="preserve"> </w:t>
      </w:r>
      <w:r w:rsidR="00CC66E7" w:rsidRPr="00D60C79">
        <w:rPr>
          <w:lang w:val="uk-UA"/>
        </w:rPr>
        <w:t>необґрунтованого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зв'язку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завищенням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цін,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тарифів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послуги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штрафів,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можуть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встановлюватись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фізичних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безхазяйного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конфіскованого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майна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реєстрацію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суб'єктів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підприємницької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районних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штрафів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забруднення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навколишнього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природного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середовища,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нераціональне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природних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ресурсів,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порушення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законодавства-про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охорону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навколишнього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середовища,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санітарних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правил,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визначаються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нормативів,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затверджених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Радами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орендної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землю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розвитку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виділяються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розвиток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житлових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районів,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проживає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відповідна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кількість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працівників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зборів,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штрафів,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вводяться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міською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районними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Радами</w:t>
      </w:r>
      <w:r w:rsidR="00D60C79" w:rsidRPr="00D60C79">
        <w:rPr>
          <w:lang w:val="uk-UA"/>
        </w:rPr>
        <w:t>.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позабюджетних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акумулюються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спеціальних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рахунках,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відкриваються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банків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вилученню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підлягають</w:t>
      </w:r>
      <w:r w:rsidR="00D60C79" w:rsidRPr="00D60C79">
        <w:rPr>
          <w:lang w:val="uk-UA"/>
        </w:rPr>
        <w:t>.</w:t>
      </w:r>
    </w:p>
    <w:p w:rsidR="00D60C79" w:rsidRDefault="00D60C7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D60C79" w:rsidRDefault="00E46E7B" w:rsidP="00D60C79">
      <w:pPr>
        <w:pStyle w:val="1"/>
        <w:rPr>
          <w:lang w:val="uk-UA"/>
        </w:rPr>
      </w:pPr>
      <w:bookmarkStart w:id="8" w:name="_Toc286668895"/>
      <w:r w:rsidRPr="00D60C79">
        <w:rPr>
          <w:lang w:val="uk-UA"/>
        </w:rPr>
        <w:t>В</w:t>
      </w:r>
      <w:r w:rsidR="000954C9" w:rsidRPr="00D60C79">
        <w:rPr>
          <w:lang w:val="uk-UA"/>
        </w:rPr>
        <w:t>алютні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="000954C9" w:rsidRPr="00D60C79">
        <w:rPr>
          <w:lang w:val="uk-UA"/>
        </w:rPr>
        <w:t>місцевого</w:t>
      </w:r>
      <w:r w:rsidR="00D60C79" w:rsidRPr="00D60C79">
        <w:rPr>
          <w:lang w:val="uk-UA"/>
        </w:rPr>
        <w:t xml:space="preserve"> </w:t>
      </w:r>
      <w:r w:rsidR="00EE1292" w:rsidRPr="00D60C79">
        <w:rPr>
          <w:lang w:val="uk-UA"/>
        </w:rPr>
        <w:t>самоврядування</w:t>
      </w:r>
      <w:bookmarkEnd w:id="8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Органи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самоврядування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формувати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валютні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>: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5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валютної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виручки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зареєстровані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міською,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районною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адміністрацією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зовнішньоекономічної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добровільних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пожертвувань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надходження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іноземним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громадянам</w:t>
      </w:r>
      <w:r w:rsidR="00D60C79" w:rsidRPr="00D60C79">
        <w:rPr>
          <w:lang w:val="uk-UA"/>
        </w:rPr>
        <w:t>;</w:t>
      </w:r>
    </w:p>
    <w:p w:rsidR="00D60C79" w:rsidRP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здавання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оренду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комунальної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іноземним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фізичним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особам</w:t>
      </w:r>
      <w:r w:rsidR="00D60C79" w:rsidRPr="00D60C79">
        <w:rPr>
          <w:lang w:val="uk-UA"/>
        </w:rPr>
        <w:t>;</w:t>
      </w:r>
    </w:p>
    <w:p w:rsidR="00D60C79" w:rsidRDefault="00E46E7B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інших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заборонених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джерел</w:t>
      </w:r>
      <w:r w:rsidR="00D60C79" w:rsidRPr="00D60C79">
        <w:rPr>
          <w:lang w:val="uk-UA"/>
        </w:rPr>
        <w:t>.</w:t>
      </w:r>
    </w:p>
    <w:p w:rsidR="00AD0BF9" w:rsidRDefault="00D60C79" w:rsidP="00D60C79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9" w:name="_Toc286668896"/>
      <w:r w:rsidR="00AD0BF9" w:rsidRPr="00D60C79">
        <w:rPr>
          <w:lang w:val="uk-UA"/>
        </w:rPr>
        <w:t>Висновок</w:t>
      </w:r>
      <w:bookmarkEnd w:id="9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b/>
          <w:bCs/>
          <w:lang w:val="uk-UA"/>
        </w:rPr>
        <w:t>Позабюджетні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b/>
          <w:bCs/>
          <w:lang w:val="uk-UA"/>
        </w:rPr>
        <w:t>фонди</w:t>
      </w:r>
      <w:r w:rsidR="00D60C79" w:rsidRPr="00D60C79">
        <w:rPr>
          <w:b/>
          <w:bCs/>
          <w:lang w:val="uk-UA"/>
        </w:rPr>
        <w:t xml:space="preserve"> - </w:t>
      </w:r>
      <w:r w:rsidRPr="00D60C79">
        <w:rPr>
          <w:lang w:val="uk-UA"/>
        </w:rPr>
        <w:t>фінансові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ресурси,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утворені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суб'єктів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призначенням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наприклад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). </w:t>
      </w:r>
      <w:r w:rsidRPr="00D60C79">
        <w:rPr>
          <w:lang w:val="uk-UA"/>
        </w:rPr>
        <w:t>Розрізняють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призначенням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такі,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економічний,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природоохоронний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характер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рівнями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загальнодержавний,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регіональний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місцевий</w:t>
      </w:r>
      <w:r w:rsidR="00D60C79" w:rsidRPr="00D60C79">
        <w:rPr>
          <w:lang w:val="uk-UA"/>
        </w:rPr>
        <w:t>).</w:t>
      </w:r>
    </w:p>
    <w:p w:rsidR="00D60C79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b/>
          <w:bCs/>
          <w:lang w:val="uk-UA"/>
        </w:rPr>
        <w:t>Цільові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b/>
          <w:bCs/>
          <w:lang w:val="uk-UA"/>
        </w:rPr>
        <w:t>державні</w:t>
      </w:r>
      <w:r w:rsidR="00D60C79" w:rsidRPr="00D60C79">
        <w:rPr>
          <w:b/>
          <w:bCs/>
          <w:lang w:val="uk-UA"/>
        </w:rPr>
        <w:t xml:space="preserve"> </w:t>
      </w:r>
      <w:r w:rsidRPr="00D60C79">
        <w:rPr>
          <w:b/>
          <w:bCs/>
          <w:lang w:val="uk-UA"/>
        </w:rPr>
        <w:t>фонди</w:t>
      </w:r>
      <w:r w:rsidR="00D60C79" w:rsidRPr="00D60C79">
        <w:rPr>
          <w:b/>
          <w:bCs/>
          <w:lang w:val="uk-UA"/>
        </w:rPr>
        <w:t xml:space="preserve"> - </w:t>
      </w:r>
      <w:r w:rsidRPr="00D60C79">
        <w:rPr>
          <w:lang w:val="uk-UA"/>
        </w:rPr>
        <w:t>це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сукупність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фінансових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ресурсів,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знаходяться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розпорядженні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або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місцевих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цільове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призначення</w:t>
      </w:r>
      <w:r w:rsidR="00D60C79" w:rsidRPr="00D60C79">
        <w:rPr>
          <w:lang w:val="uk-UA"/>
        </w:rPr>
        <w:t>.</w:t>
      </w:r>
    </w:p>
    <w:p w:rsidR="00D60C79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  <w:iCs/>
          <w:lang w:val="uk-UA"/>
        </w:rPr>
      </w:pPr>
      <w:r w:rsidRPr="00D60C79">
        <w:rPr>
          <w:lang w:val="uk-UA"/>
        </w:rPr>
        <w:t>Цільові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виступають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одним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методів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перерозподілу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національного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виконують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важливих</w:t>
      </w:r>
      <w:r w:rsidR="00D60C79" w:rsidRPr="00D60C79">
        <w:rPr>
          <w:lang w:val="uk-UA"/>
        </w:rPr>
        <w:t xml:space="preserve"> </w:t>
      </w:r>
      <w:r w:rsidRPr="00D60C79">
        <w:rPr>
          <w:i/>
          <w:iCs/>
          <w:lang w:val="uk-UA"/>
        </w:rPr>
        <w:t>завдання</w:t>
      </w:r>
      <w:r w:rsidR="00D60C79" w:rsidRPr="00D60C79">
        <w:rPr>
          <w:i/>
          <w:iCs/>
          <w:lang w:val="uk-UA"/>
        </w:rPr>
        <w:t>:</w:t>
      </w:r>
    </w:p>
    <w:p w:rsidR="00D60C79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забезпечують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додатковими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пріоритетні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сфери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економіки</w:t>
      </w:r>
      <w:r w:rsidR="00D60C79" w:rsidRPr="00D60C79">
        <w:rPr>
          <w:lang w:val="uk-UA"/>
        </w:rPr>
        <w:t>;</w:t>
      </w:r>
    </w:p>
    <w:p w:rsidR="00D60C79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розширюють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коло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населенню</w:t>
      </w:r>
      <w:r w:rsidR="00D60C79" w:rsidRPr="00D60C79">
        <w:rPr>
          <w:lang w:val="uk-UA"/>
        </w:rPr>
        <w:t>.</w:t>
      </w:r>
    </w:p>
    <w:p w:rsidR="00D60C79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Пенсійний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відображає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постійної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працездатності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Формою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пенсії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Найбільшу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частину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посідають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обов'язкові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>.</w:t>
      </w:r>
    </w:p>
    <w:p w:rsidR="00EE1292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i/>
          <w:iCs/>
          <w:lang w:val="uk-UA"/>
        </w:rPr>
        <w:t>Джерела</w:t>
      </w:r>
      <w:r w:rsidR="00D60C79" w:rsidRPr="00D60C79">
        <w:rPr>
          <w:i/>
          <w:iCs/>
          <w:lang w:val="uk-UA"/>
        </w:rPr>
        <w:t xml:space="preserve"> </w:t>
      </w:r>
      <w:r w:rsidRPr="00D60C79">
        <w:rPr>
          <w:i/>
          <w:iCs/>
          <w:lang w:val="uk-UA"/>
        </w:rPr>
        <w:t>доходів</w:t>
      </w:r>
    </w:p>
    <w:p w:rsidR="00EE1292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Обов'язкові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</w:p>
    <w:p w:rsidR="00EE1292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Кошти,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регресними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вимогами</w:t>
      </w:r>
    </w:p>
    <w:p w:rsidR="00D60C79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Цільові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пенсій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військовослужбовцям,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працівникам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внутрішніх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справ,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інвалідам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дитинства</w:t>
      </w:r>
      <w:r w:rsidR="00D60C79" w:rsidRPr="00D60C79">
        <w:rPr>
          <w:lang w:val="uk-UA"/>
        </w:rPr>
        <w:t>.</w:t>
      </w:r>
    </w:p>
    <w:p w:rsidR="00EE1292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4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Доходи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розміщення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</w:p>
    <w:p w:rsidR="00EE1292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5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Добровільні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пожертвування</w:t>
      </w:r>
    </w:p>
    <w:p w:rsidR="00EE1292" w:rsidRPr="00D60C79" w:rsidRDefault="00EE1292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6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надходження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утворюється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господарських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незалежно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їхньої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підпорядкованості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власності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12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віднесенням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сплачених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собівартість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>.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Платниками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включаючи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іноземними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інвестиціями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господарську,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підприємницьку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іншу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комерційну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діяльність</w:t>
      </w:r>
      <w:r w:rsidR="00D60C79" w:rsidRPr="00D60C79">
        <w:rPr>
          <w:lang w:val="uk-UA"/>
        </w:rPr>
        <w:t>.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звільняються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вугільної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промисловості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здійснюють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видобуток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залізної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марганцевої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руд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підземним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способом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будівництво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шахт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творчі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спілки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підприємства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Українського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товариства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сліпих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Українського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товариства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глухих,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інваліди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становлять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більш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50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загальної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чисельності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працюючих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соціально-культурні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заклади,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утримуються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профспілкового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путівок,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прибутку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балансі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яких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вони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знаходяться</w:t>
      </w:r>
      <w:r w:rsidR="00D60C79" w:rsidRPr="00D60C79">
        <w:rPr>
          <w:lang w:val="uk-UA"/>
        </w:rPr>
        <w:t xml:space="preserve">; </w:t>
      </w:r>
      <w:r w:rsidRPr="00D60C79">
        <w:rPr>
          <w:lang w:val="uk-UA"/>
        </w:rPr>
        <w:t>наукові,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проектні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конструкторські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установи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</w:t>
      </w:r>
      <w:r w:rsidR="00D60C79" w:rsidRPr="00D60C79">
        <w:rPr>
          <w:lang w:val="uk-UA"/>
        </w:rPr>
        <w:t>.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Відповідно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Закону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 "</w:t>
      </w:r>
      <w:r w:rsidRPr="00D60C79">
        <w:rPr>
          <w:lang w:val="uk-UA"/>
        </w:rPr>
        <w:t>Про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основи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політики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сфері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науково-технічної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>
        <w:rPr>
          <w:lang w:val="uk-UA"/>
        </w:rPr>
        <w:t xml:space="preserve">" </w:t>
      </w:r>
      <w:r w:rsidRPr="00D60C79">
        <w:rPr>
          <w:lang w:val="uk-UA"/>
        </w:rPr>
        <w:t>створюється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інноваційний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заходів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розвитку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використання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досягнень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техніки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має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відділення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Автономній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Республіці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Крим,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областях,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містах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Києві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Севастополі</w:t>
      </w:r>
      <w:r w:rsidR="00D60C79" w:rsidRPr="00D60C79">
        <w:rPr>
          <w:lang w:val="uk-UA"/>
        </w:rPr>
        <w:t>.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формуються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рахунок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бюджетних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асигнувань,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виділяються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державою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для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підтримки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науково-технічної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відрахувань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добровільних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внесків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юридичних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фізичних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осіб</w:t>
      </w:r>
      <w:r w:rsidR="00D60C79" w:rsidRPr="00D60C79">
        <w:rPr>
          <w:lang w:val="uk-UA"/>
        </w:rPr>
        <w:t>.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Підприємства,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об'єднання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відраховують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кошти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обсягу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реалізації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>
        <w:rPr>
          <w:lang w:val="uk-UA"/>
        </w:rPr>
        <w:t xml:space="preserve"> (</w:t>
      </w:r>
      <w:r w:rsidRPr="00D60C79">
        <w:rPr>
          <w:lang w:val="uk-UA"/>
        </w:rPr>
        <w:t>робіт,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послуг</w:t>
      </w:r>
      <w:r w:rsidR="00D60C79" w:rsidRPr="00D60C79">
        <w:rPr>
          <w:lang w:val="uk-UA"/>
        </w:rPr>
        <w:t xml:space="preserve">)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віднесенням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їх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собівартість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продукції</w:t>
      </w:r>
      <w:r w:rsidR="00D60C79" w:rsidRPr="00D60C79">
        <w:rPr>
          <w:lang w:val="uk-UA"/>
        </w:rPr>
        <w:t>.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працездатності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характеризує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непрацездатності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Формою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виступають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період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працездатності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частини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відновлення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працездатності</w:t>
      </w:r>
      <w:r w:rsidR="00D60C79" w:rsidRPr="00D60C79">
        <w:rPr>
          <w:lang w:val="uk-UA"/>
        </w:rPr>
        <w:t>.</w:t>
      </w:r>
    </w:p>
    <w:p w:rsidR="00C01C3A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  <w:lang w:val="uk-UA"/>
        </w:rPr>
      </w:pPr>
      <w:r w:rsidRPr="00D60C79">
        <w:rPr>
          <w:i/>
          <w:lang w:val="uk-UA"/>
        </w:rPr>
        <w:t>Фонд</w:t>
      </w:r>
      <w:r w:rsidR="00D60C79" w:rsidRPr="00D60C79">
        <w:rPr>
          <w:i/>
          <w:lang w:val="uk-UA"/>
        </w:rPr>
        <w:t xml:space="preserve"> </w:t>
      </w:r>
      <w:r w:rsidRPr="00D60C79">
        <w:rPr>
          <w:i/>
          <w:lang w:val="uk-UA"/>
        </w:rPr>
        <w:t>соціального</w:t>
      </w:r>
      <w:r w:rsidR="00D60C79" w:rsidRPr="00D60C79">
        <w:rPr>
          <w:i/>
          <w:lang w:val="uk-UA"/>
        </w:rPr>
        <w:t xml:space="preserve"> </w:t>
      </w:r>
      <w:r w:rsidRPr="00D60C79">
        <w:rPr>
          <w:i/>
          <w:lang w:val="uk-UA"/>
        </w:rPr>
        <w:t>страхування</w:t>
      </w:r>
      <w:r w:rsidR="00D60C79" w:rsidRPr="00D60C79">
        <w:rPr>
          <w:i/>
          <w:lang w:val="uk-UA"/>
        </w:rPr>
        <w:t xml:space="preserve"> </w:t>
      </w:r>
      <w:r w:rsidRPr="00D60C79">
        <w:rPr>
          <w:i/>
          <w:lang w:val="uk-UA"/>
        </w:rPr>
        <w:t>з</w:t>
      </w:r>
      <w:r w:rsidR="00D60C79" w:rsidRPr="00D60C79">
        <w:rPr>
          <w:i/>
          <w:lang w:val="uk-UA"/>
        </w:rPr>
        <w:t xml:space="preserve"> </w:t>
      </w:r>
      <w:r w:rsidRPr="00D60C79">
        <w:rPr>
          <w:i/>
          <w:lang w:val="uk-UA"/>
        </w:rPr>
        <w:t>тимчасової</w:t>
      </w:r>
      <w:r w:rsidR="00D60C79" w:rsidRPr="00D60C79">
        <w:rPr>
          <w:i/>
          <w:lang w:val="uk-UA"/>
        </w:rPr>
        <w:t xml:space="preserve"> </w:t>
      </w:r>
      <w:r w:rsidRPr="00D60C79">
        <w:rPr>
          <w:i/>
          <w:lang w:val="uk-UA"/>
        </w:rPr>
        <w:t>втрати</w:t>
      </w:r>
      <w:r w:rsidR="00D60C79" w:rsidRPr="00D60C79">
        <w:rPr>
          <w:i/>
          <w:lang w:val="uk-UA"/>
        </w:rPr>
        <w:t xml:space="preserve"> </w:t>
      </w:r>
      <w:r w:rsidRPr="00D60C79">
        <w:rPr>
          <w:i/>
          <w:lang w:val="uk-UA"/>
        </w:rPr>
        <w:t>працездатності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lang w:val="uk-UA"/>
        </w:rPr>
      </w:pPr>
      <w:r w:rsidRPr="00D60C79">
        <w:rPr>
          <w:b/>
          <w:lang w:val="uk-UA"/>
        </w:rPr>
        <w:t>Джерела</w:t>
      </w:r>
      <w:r w:rsidR="00D60C79" w:rsidRPr="00D60C79">
        <w:rPr>
          <w:b/>
          <w:lang w:val="uk-UA"/>
        </w:rPr>
        <w:t xml:space="preserve"> </w:t>
      </w:r>
      <w:r w:rsidRPr="00D60C79">
        <w:rPr>
          <w:b/>
          <w:lang w:val="uk-UA"/>
        </w:rPr>
        <w:t>доходів</w:t>
      </w:r>
      <w:r w:rsidR="00D60C79" w:rsidRPr="00D60C79">
        <w:rPr>
          <w:b/>
          <w:lang w:val="uk-UA"/>
        </w:rPr>
        <w:t>: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2,9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розмірах</w:t>
      </w:r>
      <w:r w:rsidR="00D60C79" w:rsidRPr="00D60C79">
        <w:rPr>
          <w:lang w:val="uk-UA"/>
        </w:rPr>
        <w:t>: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0,5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сукупного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оподатковуваного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перевищує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прожитковий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мінімум</w:t>
      </w:r>
      <w:r w:rsidR="00D60C79" w:rsidRPr="00D60C79">
        <w:rPr>
          <w:lang w:val="uk-UA"/>
        </w:rPr>
        <w:t>;</w:t>
      </w:r>
    </w:p>
    <w:p w:rsidR="00AD0BF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оподатковуваного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доходу,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що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перевищує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прожитковий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мінімум</w:t>
      </w:r>
    </w:p>
    <w:p w:rsidR="00AD0BF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Надходження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путівки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санаторно-курортне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лікування,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відпочинок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дієтичне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харчування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4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Надходження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комерційної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організацій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профспілок</w:t>
      </w:r>
      <w:r w:rsidR="00D60C79" w:rsidRPr="00D60C79">
        <w:rPr>
          <w:lang w:val="uk-UA"/>
        </w:rPr>
        <w:t>.</w:t>
      </w:r>
    </w:p>
    <w:p w:rsidR="00D60C79" w:rsidRPr="00D60C79" w:rsidRDefault="00C01C3A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lang w:val="uk-UA"/>
        </w:rPr>
      </w:pPr>
      <w:r w:rsidRPr="00D60C79">
        <w:rPr>
          <w:b/>
          <w:lang w:val="uk-UA"/>
        </w:rPr>
        <w:t>Напрями</w:t>
      </w:r>
      <w:r w:rsidR="00D60C79" w:rsidRPr="00D60C79">
        <w:rPr>
          <w:b/>
          <w:lang w:val="uk-UA"/>
        </w:rPr>
        <w:t xml:space="preserve"> </w:t>
      </w:r>
      <w:r w:rsidRPr="00D60C79">
        <w:rPr>
          <w:b/>
          <w:lang w:val="uk-UA"/>
        </w:rPr>
        <w:t>видатків</w:t>
      </w:r>
      <w:r w:rsidR="00D60C79" w:rsidRPr="00D60C79">
        <w:rPr>
          <w:b/>
          <w:lang w:val="uk-UA"/>
        </w:rPr>
        <w:t>: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Виплати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</w:t>
      </w:r>
      <w:r w:rsidR="00D60C79" w:rsidRPr="00D60C79">
        <w:rPr>
          <w:lang w:val="uk-UA"/>
        </w:rPr>
        <w:t>: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тимчасовою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непрацездатністю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за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вагітністю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пологами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дітей</w:t>
      </w:r>
      <w:r w:rsidR="00D60C79" w:rsidRPr="00D60C79">
        <w:rPr>
          <w:lang w:val="uk-UA"/>
        </w:rPr>
        <w:t>;</w:t>
      </w:r>
    </w:p>
    <w:p w:rsidR="00D60C7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поховання</w:t>
      </w:r>
      <w:r w:rsidR="00D60C79" w:rsidRPr="00D60C79">
        <w:rPr>
          <w:lang w:val="uk-UA"/>
        </w:rPr>
        <w:t>;</w:t>
      </w:r>
    </w:p>
    <w:p w:rsidR="00AD0BF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інші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види</w:t>
      </w:r>
    </w:p>
    <w:p w:rsidR="00AD0BF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санаторно-курортне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лікування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відпочинок,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надання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дієтичного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харчування</w:t>
      </w:r>
    </w:p>
    <w:p w:rsidR="00AD0BF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Утримання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санаторіїв-профілакторіїв</w:t>
      </w:r>
    </w:p>
    <w:p w:rsidR="00AD0BF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4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Позашкільне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обслуговування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дітей</w:t>
      </w:r>
    </w:p>
    <w:p w:rsidR="00AD0BF9" w:rsidRPr="00D60C79" w:rsidRDefault="00AD0BF9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5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забезпечення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поточної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діяльності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Фонду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органів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управління</w:t>
      </w:r>
    </w:p>
    <w:p w:rsidR="00D60C79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Фонд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загальнообов'язкового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соціального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безробіття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забезпечує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випадок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місця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роботи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Формою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страхового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відшкодування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виступають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безробіття,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перекваліфікацію,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працевлаштування</w:t>
      </w:r>
      <w:r w:rsidR="00D60C79" w:rsidRPr="00D60C79">
        <w:rPr>
          <w:lang w:val="uk-UA"/>
        </w:rPr>
        <w:t>.</w:t>
      </w:r>
    </w:p>
    <w:p w:rsidR="00D60C79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bCs/>
          <w:lang w:val="uk-UA"/>
        </w:rPr>
        <w:t>Фонд</w:t>
      </w:r>
      <w:r w:rsidR="00D60C79" w:rsidRPr="00D60C79">
        <w:rPr>
          <w:bCs/>
          <w:lang w:val="uk-UA"/>
        </w:rPr>
        <w:t xml:space="preserve"> </w:t>
      </w:r>
      <w:r w:rsidRPr="00D60C79">
        <w:rPr>
          <w:bCs/>
          <w:lang w:val="uk-UA"/>
        </w:rPr>
        <w:t>загальнообов'язкового</w:t>
      </w:r>
      <w:r w:rsidR="00D60C79" w:rsidRPr="00D60C79">
        <w:rPr>
          <w:bCs/>
          <w:lang w:val="uk-UA"/>
        </w:rPr>
        <w:t xml:space="preserve"> </w:t>
      </w:r>
      <w:r w:rsidRPr="00D60C79">
        <w:rPr>
          <w:bCs/>
          <w:lang w:val="uk-UA"/>
        </w:rPr>
        <w:t>соціального</w:t>
      </w:r>
      <w:r w:rsidR="00D60C79" w:rsidRPr="00D60C79">
        <w:rPr>
          <w:bCs/>
          <w:lang w:val="uk-UA"/>
        </w:rPr>
        <w:t xml:space="preserve"> </w:t>
      </w:r>
      <w:r w:rsidRPr="00D60C79">
        <w:rPr>
          <w:bCs/>
          <w:lang w:val="uk-UA"/>
        </w:rPr>
        <w:t>страхування</w:t>
      </w:r>
      <w:r w:rsidR="00D60C79" w:rsidRPr="00D60C79">
        <w:rPr>
          <w:bCs/>
          <w:lang w:val="uk-UA"/>
        </w:rPr>
        <w:t xml:space="preserve"> </w:t>
      </w:r>
      <w:r w:rsidRPr="00D60C79">
        <w:rPr>
          <w:bCs/>
          <w:lang w:val="uk-UA"/>
        </w:rPr>
        <w:t>на</w:t>
      </w:r>
      <w:r w:rsidR="00D60C79" w:rsidRPr="00D60C79">
        <w:rPr>
          <w:bCs/>
          <w:lang w:val="uk-UA"/>
        </w:rPr>
        <w:t xml:space="preserve"> </w:t>
      </w:r>
      <w:r w:rsidRPr="00D60C79">
        <w:rPr>
          <w:bCs/>
          <w:lang w:val="uk-UA"/>
        </w:rPr>
        <w:t>випадок</w:t>
      </w:r>
      <w:r w:rsidR="00D60C79" w:rsidRPr="00D60C79">
        <w:rPr>
          <w:bCs/>
          <w:lang w:val="uk-UA"/>
        </w:rPr>
        <w:t xml:space="preserve"> </w:t>
      </w:r>
      <w:r w:rsidRPr="00D60C79">
        <w:rPr>
          <w:bCs/>
          <w:lang w:val="uk-UA"/>
        </w:rPr>
        <w:t>безробіття</w:t>
      </w:r>
    </w:p>
    <w:p w:rsidR="00D60C79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  <w:iCs/>
          <w:lang w:val="uk-UA"/>
        </w:rPr>
      </w:pPr>
      <w:r w:rsidRPr="00D60C79">
        <w:rPr>
          <w:i/>
          <w:iCs/>
          <w:lang w:val="uk-UA"/>
        </w:rPr>
        <w:t>Джерела</w:t>
      </w:r>
      <w:r w:rsidR="00D60C79" w:rsidRPr="00D60C79">
        <w:rPr>
          <w:i/>
          <w:iCs/>
          <w:lang w:val="uk-UA"/>
        </w:rPr>
        <w:t xml:space="preserve"> </w:t>
      </w:r>
      <w:r w:rsidRPr="00D60C79">
        <w:rPr>
          <w:i/>
          <w:iCs/>
          <w:lang w:val="uk-UA"/>
        </w:rPr>
        <w:t>доходів</w:t>
      </w:r>
      <w:r w:rsidR="00D60C79" w:rsidRPr="00D60C79">
        <w:rPr>
          <w:i/>
          <w:iCs/>
          <w:lang w:val="uk-UA"/>
        </w:rPr>
        <w:t>:</w:t>
      </w:r>
    </w:p>
    <w:p w:rsidR="00CC66E7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Внески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підприємств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1,9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фактичних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витрат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оплату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праці</w:t>
      </w:r>
    </w:p>
    <w:p w:rsidR="00D60C79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Страхові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платежі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громадян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розмірі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0,5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%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від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сукупного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оподатковуваного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доходу</w:t>
      </w:r>
      <w:r w:rsidR="00D60C79" w:rsidRPr="00D60C79">
        <w:rPr>
          <w:lang w:val="uk-UA"/>
        </w:rPr>
        <w:t>.</w:t>
      </w:r>
    </w:p>
    <w:p w:rsidR="00D60C79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  <w:iCs/>
          <w:lang w:val="uk-UA"/>
        </w:rPr>
      </w:pPr>
      <w:r w:rsidRPr="00D60C79">
        <w:rPr>
          <w:i/>
          <w:iCs/>
          <w:lang w:val="uk-UA"/>
        </w:rPr>
        <w:t>Напрями</w:t>
      </w:r>
      <w:r w:rsidR="00D60C79" w:rsidRPr="00D60C79">
        <w:rPr>
          <w:i/>
          <w:iCs/>
          <w:lang w:val="uk-UA"/>
        </w:rPr>
        <w:t xml:space="preserve"> </w:t>
      </w:r>
      <w:r w:rsidRPr="00D60C79">
        <w:rPr>
          <w:i/>
          <w:iCs/>
          <w:lang w:val="uk-UA"/>
        </w:rPr>
        <w:t>видатків</w:t>
      </w:r>
      <w:r w:rsidR="00D60C79" w:rsidRPr="00D60C79">
        <w:rPr>
          <w:i/>
          <w:iCs/>
          <w:lang w:val="uk-UA"/>
        </w:rPr>
        <w:t>:</w:t>
      </w:r>
    </w:p>
    <w:p w:rsidR="00CC66E7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1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Виплата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допомоги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безробіття</w:t>
      </w:r>
    </w:p>
    <w:p w:rsidR="00CC66E7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2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перекваліфікацію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робітників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службовців</w:t>
      </w:r>
    </w:p>
    <w:p w:rsidR="00CC66E7" w:rsidRP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D60C79">
        <w:rPr>
          <w:lang w:val="uk-UA"/>
        </w:rPr>
        <w:t>3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працевлаштування</w:t>
      </w:r>
    </w:p>
    <w:p w:rsidR="00D60C79" w:rsidRDefault="00CC66E7" w:rsidP="00D60C79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0C79">
        <w:rPr>
          <w:lang w:val="uk-UA"/>
        </w:rPr>
        <w:t>4</w:t>
      </w:r>
      <w:r w:rsidR="00D60C79" w:rsidRPr="00D60C79">
        <w:rPr>
          <w:lang w:val="uk-UA"/>
        </w:rPr>
        <w:t xml:space="preserve">. </w:t>
      </w:r>
      <w:r w:rsidRPr="00D60C79">
        <w:rPr>
          <w:lang w:val="uk-UA"/>
        </w:rPr>
        <w:t>Витрати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на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утримання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центрів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зайнятості</w:t>
      </w:r>
      <w:r w:rsidR="00D60C79" w:rsidRPr="00D60C79">
        <w:rPr>
          <w:lang w:val="uk-UA"/>
        </w:rPr>
        <w:t>.</w:t>
      </w:r>
    </w:p>
    <w:p w:rsidR="00D60C79" w:rsidRDefault="00D60C79" w:rsidP="00D60C79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0" w:name="_Toc286668897"/>
      <w:r w:rsidR="00A42AF8" w:rsidRPr="00D60C79">
        <w:rPr>
          <w:lang w:val="uk-UA"/>
        </w:rPr>
        <w:t>Література</w:t>
      </w:r>
      <w:bookmarkEnd w:id="10"/>
    </w:p>
    <w:p w:rsidR="00D60C79" w:rsidRPr="00D60C79" w:rsidRDefault="00D60C79" w:rsidP="00D60C79">
      <w:pPr>
        <w:rPr>
          <w:lang w:val="uk-UA" w:eastAsia="en-US"/>
        </w:rPr>
      </w:pPr>
    </w:p>
    <w:p w:rsidR="00D60C79" w:rsidRPr="00D60C79" w:rsidRDefault="00A42AF8" w:rsidP="00D60C79">
      <w:pPr>
        <w:pStyle w:val="a"/>
        <w:rPr>
          <w:lang w:val="uk-UA"/>
        </w:rPr>
      </w:pPr>
      <w:r w:rsidRPr="00D60C79">
        <w:rPr>
          <w:lang w:val="uk-UA"/>
        </w:rPr>
        <w:t>Василик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</w:t>
      </w:r>
      <w:r w:rsidR="00D60C79">
        <w:rPr>
          <w:lang w:val="uk-UA"/>
        </w:rPr>
        <w:t xml:space="preserve">.Д. </w:t>
      </w:r>
      <w:r w:rsidRPr="00D60C79">
        <w:rPr>
          <w:lang w:val="uk-UA"/>
        </w:rPr>
        <w:t>державні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фінанси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України</w:t>
      </w:r>
      <w:r w:rsidR="00D60C79">
        <w:rPr>
          <w:lang w:val="uk-UA"/>
        </w:rPr>
        <w:t xml:space="preserve">. - </w:t>
      </w:r>
      <w:r w:rsidRPr="00D60C79">
        <w:rPr>
          <w:lang w:val="uk-UA"/>
        </w:rPr>
        <w:t>К</w:t>
      </w:r>
      <w:r w:rsidR="00D60C79" w:rsidRPr="00D60C79">
        <w:rPr>
          <w:lang w:val="uk-UA"/>
        </w:rPr>
        <w:t xml:space="preserve">., </w:t>
      </w:r>
      <w:r w:rsidRPr="00D60C79">
        <w:rPr>
          <w:lang w:val="uk-UA"/>
        </w:rPr>
        <w:t>1997</w:t>
      </w:r>
      <w:r w:rsidR="00D60C79">
        <w:rPr>
          <w:lang w:val="uk-UA"/>
        </w:rPr>
        <w:t xml:space="preserve">. - </w:t>
      </w:r>
      <w:r w:rsidRPr="00D60C79">
        <w:rPr>
          <w:lang w:val="uk-UA"/>
        </w:rPr>
        <w:t>383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</w:t>
      </w:r>
      <w:r w:rsidR="00D60C79" w:rsidRPr="00D60C79">
        <w:rPr>
          <w:lang w:val="uk-UA"/>
        </w:rPr>
        <w:t>.</w:t>
      </w:r>
    </w:p>
    <w:p w:rsidR="00D60C79" w:rsidRPr="00D60C79" w:rsidRDefault="00A42AF8" w:rsidP="00D60C79">
      <w:pPr>
        <w:pStyle w:val="a"/>
        <w:rPr>
          <w:lang w:val="uk-UA"/>
        </w:rPr>
      </w:pPr>
      <w:r w:rsidRPr="00D60C79">
        <w:rPr>
          <w:lang w:val="uk-UA"/>
        </w:rPr>
        <w:t>Загорський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В</w:t>
      </w:r>
      <w:r w:rsidR="00D60C79">
        <w:rPr>
          <w:lang w:val="uk-UA"/>
        </w:rPr>
        <w:t xml:space="preserve">.С., </w:t>
      </w:r>
      <w:r w:rsidRPr="00D60C79">
        <w:rPr>
          <w:lang w:val="uk-UA"/>
        </w:rPr>
        <w:t>Вовчак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О</w:t>
      </w:r>
      <w:r w:rsidR="00D60C79">
        <w:rPr>
          <w:lang w:val="uk-UA"/>
        </w:rPr>
        <w:t xml:space="preserve">.Д. </w:t>
      </w:r>
      <w:r w:rsidRPr="00D60C79">
        <w:rPr>
          <w:lang w:val="uk-UA"/>
        </w:rPr>
        <w:t>Фінанси</w:t>
      </w:r>
      <w:r w:rsidR="00D60C79">
        <w:rPr>
          <w:lang w:val="uk-UA"/>
        </w:rPr>
        <w:t xml:space="preserve">. - </w:t>
      </w:r>
      <w:r w:rsidRPr="00D60C79">
        <w:rPr>
          <w:lang w:val="uk-UA"/>
        </w:rPr>
        <w:t>К</w:t>
      </w:r>
      <w:r w:rsidR="00D60C79" w:rsidRPr="00D60C79">
        <w:rPr>
          <w:lang w:val="uk-UA"/>
        </w:rPr>
        <w:t xml:space="preserve">., </w:t>
      </w:r>
      <w:r w:rsidRPr="00D60C79">
        <w:rPr>
          <w:lang w:val="uk-UA"/>
        </w:rPr>
        <w:t>2006</w:t>
      </w:r>
      <w:r w:rsidR="00D60C79">
        <w:rPr>
          <w:lang w:val="uk-UA"/>
        </w:rPr>
        <w:t xml:space="preserve">. - </w:t>
      </w:r>
      <w:r w:rsidRPr="00D60C79">
        <w:rPr>
          <w:lang w:val="uk-UA"/>
        </w:rPr>
        <w:t>247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</w:t>
      </w:r>
      <w:r w:rsidR="00D60C79" w:rsidRPr="00D60C79">
        <w:rPr>
          <w:lang w:val="uk-UA"/>
        </w:rPr>
        <w:t>.</w:t>
      </w:r>
    </w:p>
    <w:p w:rsidR="00A42AF8" w:rsidRDefault="00A42AF8" w:rsidP="00D60C79">
      <w:pPr>
        <w:pStyle w:val="a"/>
        <w:rPr>
          <w:lang w:val="uk-UA"/>
        </w:rPr>
      </w:pPr>
      <w:r w:rsidRPr="00D60C79">
        <w:rPr>
          <w:lang w:val="uk-UA"/>
        </w:rPr>
        <w:t>Петровська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І</w:t>
      </w:r>
      <w:r w:rsidR="00D60C79">
        <w:rPr>
          <w:lang w:val="uk-UA"/>
        </w:rPr>
        <w:t xml:space="preserve">.О., </w:t>
      </w:r>
      <w:r w:rsidRPr="00D60C79">
        <w:rPr>
          <w:lang w:val="uk-UA"/>
        </w:rPr>
        <w:t>Клиновий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Д</w:t>
      </w:r>
      <w:r w:rsidR="00D60C79">
        <w:rPr>
          <w:lang w:val="uk-UA"/>
        </w:rPr>
        <w:t xml:space="preserve">.В. </w:t>
      </w:r>
      <w:r w:rsidRPr="00D60C79">
        <w:rPr>
          <w:lang w:val="uk-UA"/>
        </w:rPr>
        <w:t>Фінанси</w:t>
      </w:r>
      <w:r w:rsidR="00D60C79">
        <w:rPr>
          <w:lang w:val="uk-UA"/>
        </w:rPr>
        <w:t xml:space="preserve">. - </w:t>
      </w:r>
      <w:r w:rsidRPr="00D60C79">
        <w:rPr>
          <w:lang w:val="uk-UA"/>
        </w:rPr>
        <w:t>К</w:t>
      </w:r>
      <w:r w:rsidR="00D60C79" w:rsidRPr="00D60C79">
        <w:rPr>
          <w:lang w:val="uk-UA"/>
        </w:rPr>
        <w:t xml:space="preserve">., </w:t>
      </w:r>
      <w:r w:rsidRPr="00D60C79">
        <w:rPr>
          <w:lang w:val="uk-UA"/>
        </w:rPr>
        <w:t>2002</w:t>
      </w:r>
      <w:r w:rsidR="00D60C79">
        <w:rPr>
          <w:lang w:val="uk-UA"/>
        </w:rPr>
        <w:t xml:space="preserve">. - </w:t>
      </w:r>
      <w:r w:rsidRPr="00D60C79">
        <w:rPr>
          <w:lang w:val="uk-UA"/>
        </w:rPr>
        <w:t>300</w:t>
      </w:r>
      <w:r w:rsidR="00D60C79" w:rsidRPr="00D60C79">
        <w:rPr>
          <w:lang w:val="uk-UA"/>
        </w:rPr>
        <w:t xml:space="preserve"> </w:t>
      </w:r>
      <w:r w:rsidRPr="00D60C79">
        <w:rPr>
          <w:lang w:val="uk-UA"/>
        </w:rPr>
        <w:t>с</w:t>
      </w:r>
      <w:r w:rsidR="00D60C79" w:rsidRPr="00D60C79">
        <w:rPr>
          <w:lang w:val="uk-UA"/>
        </w:rPr>
        <w:t>.</w:t>
      </w:r>
    </w:p>
    <w:p w:rsidR="00273526" w:rsidRPr="00273526" w:rsidRDefault="00273526" w:rsidP="00273526">
      <w:pPr>
        <w:pStyle w:val="af6"/>
        <w:rPr>
          <w:lang w:val="en-US"/>
        </w:rPr>
      </w:pPr>
      <w:bookmarkStart w:id="11" w:name="_GoBack"/>
      <w:bookmarkEnd w:id="11"/>
    </w:p>
    <w:sectPr w:rsidR="00273526" w:rsidRPr="00273526" w:rsidSect="00D60C79"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91" w:rsidRDefault="00450591" w:rsidP="00444B88">
      <w:pPr>
        <w:spacing w:line="240" w:lineRule="auto"/>
      </w:pPr>
      <w:r>
        <w:separator/>
      </w:r>
    </w:p>
  </w:endnote>
  <w:endnote w:type="continuationSeparator" w:id="0">
    <w:p w:rsidR="00450591" w:rsidRDefault="00450591" w:rsidP="00444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C79" w:rsidRDefault="00D60C79" w:rsidP="00D60C79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91" w:rsidRDefault="00450591" w:rsidP="00444B88">
      <w:pPr>
        <w:spacing w:line="240" w:lineRule="auto"/>
      </w:pPr>
      <w:r>
        <w:separator/>
      </w:r>
    </w:p>
  </w:footnote>
  <w:footnote w:type="continuationSeparator" w:id="0">
    <w:p w:rsidR="00450591" w:rsidRDefault="00450591" w:rsidP="00444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C79" w:rsidRDefault="00D60C79" w:rsidP="00D60C79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7C5E2E"/>
    <w:multiLevelType w:val="hybridMultilevel"/>
    <w:tmpl w:val="11764634"/>
    <w:lvl w:ilvl="0" w:tplc="4052098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8E8"/>
    <w:rsid w:val="000954C9"/>
    <w:rsid w:val="000E6AE9"/>
    <w:rsid w:val="001E4B7A"/>
    <w:rsid w:val="0023606F"/>
    <w:rsid w:val="00272C44"/>
    <w:rsid w:val="00273526"/>
    <w:rsid w:val="00296F48"/>
    <w:rsid w:val="00376679"/>
    <w:rsid w:val="00384D47"/>
    <w:rsid w:val="00434893"/>
    <w:rsid w:val="00444B88"/>
    <w:rsid w:val="00450591"/>
    <w:rsid w:val="004E4117"/>
    <w:rsid w:val="006C160E"/>
    <w:rsid w:val="006D68E8"/>
    <w:rsid w:val="006F29A3"/>
    <w:rsid w:val="007323F3"/>
    <w:rsid w:val="009066E4"/>
    <w:rsid w:val="009B3D5A"/>
    <w:rsid w:val="009C3B4A"/>
    <w:rsid w:val="009C7857"/>
    <w:rsid w:val="00A0604E"/>
    <w:rsid w:val="00A41C2A"/>
    <w:rsid w:val="00A42AF8"/>
    <w:rsid w:val="00A6058B"/>
    <w:rsid w:val="00AD0BF9"/>
    <w:rsid w:val="00AD2499"/>
    <w:rsid w:val="00BC2900"/>
    <w:rsid w:val="00BE01AE"/>
    <w:rsid w:val="00BF117C"/>
    <w:rsid w:val="00C01C3A"/>
    <w:rsid w:val="00C72170"/>
    <w:rsid w:val="00CC66E7"/>
    <w:rsid w:val="00D60C79"/>
    <w:rsid w:val="00DA1C2B"/>
    <w:rsid w:val="00E46E7B"/>
    <w:rsid w:val="00EE1292"/>
    <w:rsid w:val="00F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1E5B72-AD6A-4367-A4C4-9390597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60C79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D60C79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D60C7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D60C7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D60C7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D60C7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D60C7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D60C7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D60C79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D60C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table" w:styleId="a4">
    <w:name w:val="Table Grid"/>
    <w:basedOn w:val="a2"/>
    <w:uiPriority w:val="99"/>
    <w:rsid w:val="00384D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next w:val="a6"/>
    <w:link w:val="11"/>
    <w:autoRedefine/>
    <w:uiPriority w:val="99"/>
    <w:rsid w:val="00D60C7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7">
    <w:name w:val="footer"/>
    <w:basedOn w:val="a0"/>
    <w:link w:val="a8"/>
    <w:uiPriority w:val="99"/>
    <w:rsid w:val="00444B88"/>
    <w:pPr>
      <w:tabs>
        <w:tab w:val="center" w:pos="4677"/>
        <w:tab w:val="right" w:pos="9355"/>
      </w:tabs>
      <w:spacing w:line="240" w:lineRule="auto"/>
    </w:pPr>
  </w:style>
  <w:style w:type="character" w:customStyle="1" w:styleId="11">
    <w:name w:val="Верхний колонтитул Знак1"/>
    <w:link w:val="a5"/>
    <w:uiPriority w:val="99"/>
    <w:semiHidden/>
    <w:locked/>
    <w:rsid w:val="00444B8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9">
    <w:name w:val="List Paragraph"/>
    <w:basedOn w:val="a0"/>
    <w:uiPriority w:val="99"/>
    <w:qFormat/>
    <w:rsid w:val="00C01C3A"/>
    <w:pPr>
      <w:ind w:left="720"/>
      <w:contextualSpacing/>
    </w:pPr>
  </w:style>
  <w:style w:type="character" w:customStyle="1" w:styleId="a8">
    <w:name w:val="Нижний колонтитул Знак"/>
    <w:link w:val="a7"/>
    <w:uiPriority w:val="99"/>
    <w:locked/>
    <w:rsid w:val="00444B88"/>
    <w:rPr>
      <w:rFonts w:cs="Times New Roman"/>
    </w:rPr>
  </w:style>
  <w:style w:type="paragraph" w:styleId="a6">
    <w:name w:val="Body Text"/>
    <w:basedOn w:val="a0"/>
    <w:link w:val="aa"/>
    <w:uiPriority w:val="99"/>
    <w:rsid w:val="00D60C79"/>
  </w:style>
  <w:style w:type="character" w:customStyle="1" w:styleId="aa">
    <w:name w:val="Основной текст Знак"/>
    <w:link w:val="a6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b">
    <w:name w:val="Верхний колонтитул Знак"/>
    <w:uiPriority w:val="99"/>
    <w:rsid w:val="00D60C79"/>
    <w:rPr>
      <w:rFonts w:cs="Times New Roman"/>
      <w:kern w:val="16"/>
      <w:sz w:val="28"/>
      <w:szCs w:val="28"/>
    </w:rPr>
  </w:style>
  <w:style w:type="character" w:customStyle="1" w:styleId="21">
    <w:name w:val="Знак Знак2"/>
    <w:uiPriority w:val="99"/>
    <w:semiHidden/>
    <w:locked/>
    <w:rsid w:val="00D60C7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c">
    <w:name w:val="endnote reference"/>
    <w:uiPriority w:val="99"/>
    <w:semiHidden/>
    <w:rsid w:val="00D60C79"/>
    <w:rPr>
      <w:rFonts w:cs="Times New Roman"/>
      <w:vertAlign w:val="superscript"/>
    </w:rPr>
  </w:style>
  <w:style w:type="character" w:styleId="ad">
    <w:name w:val="footnote reference"/>
    <w:uiPriority w:val="99"/>
    <w:semiHidden/>
    <w:rsid w:val="00D60C7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60C79"/>
    <w:pPr>
      <w:numPr>
        <w:numId w:val="2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D60C79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D60C79"/>
    <w:rPr>
      <w:b/>
      <w:bCs/>
      <w:sz w:val="20"/>
      <w:szCs w:val="20"/>
    </w:rPr>
  </w:style>
  <w:style w:type="character" w:styleId="af0">
    <w:name w:val="page number"/>
    <w:uiPriority w:val="99"/>
    <w:rsid w:val="00D60C79"/>
    <w:rPr>
      <w:rFonts w:ascii="Times New Roman" w:hAnsi="Times New Roman" w:cs="Times New Roman"/>
      <w:sz w:val="28"/>
      <w:szCs w:val="28"/>
    </w:rPr>
  </w:style>
  <w:style w:type="character" w:customStyle="1" w:styleId="af1">
    <w:name w:val="номер страницы"/>
    <w:uiPriority w:val="99"/>
    <w:rsid w:val="00D60C79"/>
    <w:rPr>
      <w:rFonts w:cs="Times New Roman"/>
      <w:sz w:val="28"/>
      <w:szCs w:val="28"/>
    </w:rPr>
  </w:style>
  <w:style w:type="paragraph" w:styleId="af2">
    <w:name w:val="Normal (Web)"/>
    <w:basedOn w:val="a0"/>
    <w:autoRedefine/>
    <w:uiPriority w:val="99"/>
    <w:rsid w:val="00D60C79"/>
    <w:rPr>
      <w:lang w:val="uk-UA" w:eastAsia="uk-UA"/>
    </w:rPr>
  </w:style>
  <w:style w:type="paragraph" w:customStyle="1" w:styleId="af3">
    <w:name w:val="Обычный +"/>
    <w:basedOn w:val="a0"/>
    <w:autoRedefine/>
    <w:uiPriority w:val="99"/>
    <w:rsid w:val="00D60C79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D60C79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4">
    <w:name w:val="Body Text Indent"/>
    <w:basedOn w:val="a0"/>
    <w:link w:val="af5"/>
    <w:uiPriority w:val="99"/>
    <w:rsid w:val="00D60C79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6">
    <w:name w:val="размещено"/>
    <w:basedOn w:val="a0"/>
    <w:autoRedefine/>
    <w:uiPriority w:val="99"/>
    <w:rsid w:val="00D60C79"/>
    <w:rPr>
      <w:color w:val="FFFFFF"/>
    </w:rPr>
  </w:style>
  <w:style w:type="paragraph" w:customStyle="1" w:styleId="af7">
    <w:name w:val="содержание"/>
    <w:uiPriority w:val="99"/>
    <w:rsid w:val="00D60C79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D60C79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D60C79"/>
    <w:pPr>
      <w:jc w:val="center"/>
    </w:pPr>
    <w:rPr>
      <w:rFonts w:ascii="Times New Roman" w:eastAsia="Times New Roman" w:hAnsi="Times New Roman"/>
    </w:rPr>
  </w:style>
  <w:style w:type="paragraph" w:customStyle="1" w:styleId="af9">
    <w:name w:val="ТАБЛИЦА"/>
    <w:next w:val="a0"/>
    <w:autoRedefine/>
    <w:uiPriority w:val="99"/>
    <w:rsid w:val="00D60C79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D60C79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D60C79"/>
    <w:rPr>
      <w:color w:val="auto"/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D60C79"/>
    <w:rPr>
      <w:rFonts w:cs="Times New Roman"/>
      <w:lang w:val="ru-RU" w:eastAsia="ru-RU" w:bidi="ar-SA"/>
    </w:rPr>
  </w:style>
  <w:style w:type="paragraph" w:customStyle="1" w:styleId="afe">
    <w:name w:val="титут"/>
    <w:autoRedefine/>
    <w:uiPriority w:val="99"/>
    <w:rsid w:val="00D60C79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ff">
    <w:name w:val="Hyperlink"/>
    <w:uiPriority w:val="99"/>
    <w:rsid w:val="00D60C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5953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39807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Саша</dc:creator>
  <cp:keywords/>
  <dc:description/>
  <cp:lastModifiedBy>admin</cp:lastModifiedBy>
  <cp:revision>2</cp:revision>
  <dcterms:created xsi:type="dcterms:W3CDTF">2014-03-23T23:09:00Z</dcterms:created>
  <dcterms:modified xsi:type="dcterms:W3CDTF">2014-03-23T23:09:00Z</dcterms:modified>
</cp:coreProperties>
</file>