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4D3" w:rsidRDefault="007024D3">
      <w:pPr>
        <w:spacing w:line="360" w:lineRule="auto"/>
        <w:jc w:val="both"/>
        <w:rPr>
          <w:sz w:val="28"/>
          <w:lang w:val="en-US"/>
        </w:rPr>
      </w:pPr>
    </w:p>
    <w:p w:rsidR="007024D3" w:rsidRDefault="007024D3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Содержание</w:t>
      </w:r>
    </w:p>
    <w:p w:rsidR="007024D3" w:rsidRDefault="007024D3">
      <w:pPr>
        <w:spacing w:line="360" w:lineRule="auto"/>
        <w:jc w:val="both"/>
        <w:rPr>
          <w:b/>
          <w:bCs/>
          <w:sz w:val="28"/>
        </w:rPr>
      </w:pPr>
    </w:p>
    <w:p w:rsidR="007024D3" w:rsidRDefault="007024D3">
      <w:pPr>
        <w:numPr>
          <w:ilvl w:val="0"/>
          <w:numId w:val="1"/>
        </w:numPr>
        <w:spacing w:line="360" w:lineRule="auto"/>
        <w:ind w:left="357" w:hanging="357"/>
        <w:jc w:val="both"/>
        <w:rPr>
          <w:b/>
          <w:bCs/>
          <w:sz w:val="28"/>
        </w:rPr>
      </w:pPr>
      <w:r>
        <w:rPr>
          <w:b/>
          <w:bCs/>
          <w:sz w:val="28"/>
        </w:rPr>
        <w:t>Введение</w:t>
      </w:r>
      <w:r>
        <w:rPr>
          <w:sz w:val="28"/>
        </w:rPr>
        <w:t>…………………………………………………………...</w:t>
      </w:r>
      <w:r>
        <w:rPr>
          <w:b/>
          <w:bCs/>
          <w:sz w:val="28"/>
        </w:rPr>
        <w:t>3</w:t>
      </w:r>
    </w:p>
    <w:p w:rsidR="007024D3" w:rsidRDefault="007024D3">
      <w:pPr>
        <w:numPr>
          <w:ilvl w:val="0"/>
          <w:numId w:val="1"/>
        </w:numPr>
        <w:spacing w:line="360" w:lineRule="auto"/>
        <w:ind w:left="357" w:hanging="357"/>
        <w:jc w:val="both"/>
        <w:rPr>
          <w:b/>
          <w:bCs/>
          <w:sz w:val="28"/>
        </w:rPr>
      </w:pPr>
      <w:r>
        <w:rPr>
          <w:b/>
          <w:bCs/>
          <w:sz w:val="28"/>
        </w:rPr>
        <w:t>Состояние энергетической отрасли Дальнего Востока</w:t>
      </w:r>
      <w:r>
        <w:rPr>
          <w:sz w:val="28"/>
        </w:rPr>
        <w:t>……..</w:t>
      </w:r>
      <w:r>
        <w:rPr>
          <w:sz w:val="28"/>
        </w:rPr>
        <w:tab/>
      </w:r>
      <w:r>
        <w:rPr>
          <w:b/>
          <w:bCs/>
          <w:sz w:val="28"/>
        </w:rPr>
        <w:t>4</w:t>
      </w:r>
    </w:p>
    <w:p w:rsidR="007024D3" w:rsidRDefault="007024D3">
      <w:pPr>
        <w:numPr>
          <w:ilvl w:val="0"/>
          <w:numId w:val="1"/>
        </w:numPr>
        <w:spacing w:line="360" w:lineRule="auto"/>
        <w:ind w:left="357" w:hanging="357"/>
        <w:jc w:val="both"/>
        <w:rPr>
          <w:b/>
          <w:bCs/>
          <w:sz w:val="28"/>
        </w:rPr>
      </w:pPr>
      <w:r>
        <w:rPr>
          <w:b/>
          <w:bCs/>
          <w:sz w:val="28"/>
        </w:rPr>
        <w:t>Характеристика бурых углей</w:t>
      </w:r>
      <w:r>
        <w:rPr>
          <w:sz w:val="28"/>
        </w:rPr>
        <w:t>………………………………….</w:t>
      </w:r>
      <w:r>
        <w:rPr>
          <w:sz w:val="28"/>
        </w:rPr>
        <w:tab/>
      </w:r>
      <w:r>
        <w:rPr>
          <w:b/>
          <w:bCs/>
          <w:sz w:val="28"/>
        </w:rPr>
        <w:t>15</w:t>
      </w:r>
    </w:p>
    <w:p w:rsidR="007024D3" w:rsidRDefault="007024D3">
      <w:pPr>
        <w:numPr>
          <w:ilvl w:val="0"/>
          <w:numId w:val="1"/>
        </w:numPr>
        <w:spacing w:line="360" w:lineRule="auto"/>
        <w:ind w:left="357" w:hanging="357"/>
        <w:jc w:val="both"/>
        <w:rPr>
          <w:b/>
          <w:bCs/>
          <w:sz w:val="28"/>
        </w:rPr>
      </w:pPr>
      <w:r>
        <w:rPr>
          <w:b/>
          <w:bCs/>
          <w:sz w:val="28"/>
        </w:rPr>
        <w:t>Описание и принципиальная схема ТЭЦ на твердом</w:t>
      </w:r>
    </w:p>
    <w:p w:rsidR="007024D3" w:rsidRDefault="007024D3">
      <w:pPr>
        <w:spacing w:line="360" w:lineRule="auto"/>
        <w:ind w:firstLine="357"/>
        <w:jc w:val="both"/>
        <w:rPr>
          <w:b/>
          <w:bCs/>
          <w:sz w:val="28"/>
        </w:rPr>
      </w:pPr>
      <w:r>
        <w:rPr>
          <w:b/>
          <w:bCs/>
          <w:sz w:val="28"/>
        </w:rPr>
        <w:t>топливе</w:t>
      </w:r>
      <w:r>
        <w:rPr>
          <w:sz w:val="28"/>
        </w:rPr>
        <w:t>…………………………………………………………...</w:t>
      </w:r>
      <w:r>
        <w:rPr>
          <w:sz w:val="28"/>
        </w:rPr>
        <w:tab/>
      </w:r>
      <w:r>
        <w:rPr>
          <w:b/>
          <w:bCs/>
          <w:sz w:val="28"/>
        </w:rPr>
        <w:t>18</w:t>
      </w:r>
    </w:p>
    <w:p w:rsidR="007024D3" w:rsidRDefault="007024D3">
      <w:pPr>
        <w:numPr>
          <w:ilvl w:val="0"/>
          <w:numId w:val="1"/>
        </w:numPr>
        <w:spacing w:line="360" w:lineRule="auto"/>
        <w:ind w:left="357" w:hanging="357"/>
        <w:jc w:val="both"/>
        <w:rPr>
          <w:b/>
          <w:bCs/>
          <w:sz w:val="28"/>
        </w:rPr>
      </w:pPr>
      <w:r>
        <w:rPr>
          <w:b/>
          <w:bCs/>
          <w:sz w:val="28"/>
        </w:rPr>
        <w:t>Теория горения твердого топлива</w:t>
      </w:r>
      <w:r>
        <w:rPr>
          <w:sz w:val="28"/>
        </w:rPr>
        <w:t>……………………………</w:t>
      </w:r>
      <w:r>
        <w:rPr>
          <w:sz w:val="28"/>
        </w:rPr>
        <w:tab/>
      </w:r>
      <w:r>
        <w:rPr>
          <w:b/>
          <w:bCs/>
          <w:sz w:val="28"/>
        </w:rPr>
        <w:t>23</w:t>
      </w:r>
    </w:p>
    <w:p w:rsidR="007024D3" w:rsidRDefault="007024D3">
      <w:pPr>
        <w:numPr>
          <w:ilvl w:val="0"/>
          <w:numId w:val="1"/>
        </w:numPr>
        <w:spacing w:line="360" w:lineRule="auto"/>
        <w:ind w:left="357" w:hanging="357"/>
        <w:jc w:val="both"/>
        <w:rPr>
          <w:b/>
          <w:bCs/>
          <w:sz w:val="28"/>
        </w:rPr>
      </w:pPr>
      <w:r>
        <w:rPr>
          <w:b/>
          <w:bCs/>
          <w:sz w:val="28"/>
        </w:rPr>
        <w:t>Расчет экономических показателей</w:t>
      </w:r>
      <w:r>
        <w:rPr>
          <w:sz w:val="28"/>
        </w:rPr>
        <w:t>…………………………..</w:t>
      </w:r>
      <w:r>
        <w:rPr>
          <w:sz w:val="28"/>
        </w:rPr>
        <w:tab/>
      </w:r>
      <w:r>
        <w:rPr>
          <w:b/>
          <w:bCs/>
          <w:sz w:val="28"/>
        </w:rPr>
        <w:t>25</w:t>
      </w:r>
    </w:p>
    <w:p w:rsidR="007024D3" w:rsidRDefault="007024D3">
      <w:pPr>
        <w:numPr>
          <w:ilvl w:val="0"/>
          <w:numId w:val="1"/>
        </w:numPr>
        <w:spacing w:line="360" w:lineRule="auto"/>
        <w:ind w:left="357" w:hanging="357"/>
        <w:jc w:val="both"/>
        <w:rPr>
          <w:b/>
          <w:bCs/>
          <w:sz w:val="28"/>
        </w:rPr>
      </w:pPr>
      <w:r>
        <w:rPr>
          <w:b/>
          <w:bCs/>
          <w:sz w:val="28"/>
        </w:rPr>
        <w:t>Заключение</w:t>
      </w:r>
      <w:r>
        <w:rPr>
          <w:sz w:val="28"/>
        </w:rPr>
        <w:t>………………………………………………………</w:t>
      </w:r>
      <w:r>
        <w:rPr>
          <w:sz w:val="28"/>
        </w:rPr>
        <w:tab/>
      </w:r>
      <w:r>
        <w:rPr>
          <w:b/>
          <w:bCs/>
          <w:sz w:val="28"/>
        </w:rPr>
        <w:t>29</w:t>
      </w:r>
    </w:p>
    <w:p w:rsidR="007024D3" w:rsidRDefault="007024D3">
      <w:pPr>
        <w:numPr>
          <w:ilvl w:val="0"/>
          <w:numId w:val="1"/>
        </w:numPr>
        <w:spacing w:line="360" w:lineRule="auto"/>
        <w:ind w:left="357" w:hanging="357"/>
        <w:jc w:val="both"/>
        <w:rPr>
          <w:b/>
          <w:bCs/>
          <w:sz w:val="28"/>
        </w:rPr>
      </w:pPr>
      <w:r>
        <w:rPr>
          <w:b/>
          <w:bCs/>
          <w:sz w:val="28"/>
        </w:rPr>
        <w:t>Использованная литература</w:t>
      </w:r>
      <w:r>
        <w:rPr>
          <w:sz w:val="28"/>
        </w:rPr>
        <w:t>…………………………………..</w:t>
      </w:r>
      <w:r>
        <w:rPr>
          <w:sz w:val="28"/>
        </w:rPr>
        <w:tab/>
      </w:r>
      <w:r>
        <w:rPr>
          <w:b/>
          <w:bCs/>
          <w:sz w:val="28"/>
        </w:rPr>
        <w:t>34</w: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b/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 xml:space="preserve">1 – </w:t>
      </w:r>
      <w:r>
        <w:rPr>
          <w:b/>
          <w:sz w:val="28"/>
        </w:rPr>
        <w:t>Введение</w:t>
      </w:r>
    </w:p>
    <w:p w:rsidR="007024D3" w:rsidRDefault="007024D3">
      <w:pPr>
        <w:pStyle w:val="20"/>
        <w:spacing w:line="360" w:lineRule="auto"/>
        <w:jc w:val="both"/>
      </w:pPr>
    </w:p>
    <w:p w:rsidR="007024D3" w:rsidRDefault="007024D3">
      <w:pPr>
        <w:pStyle w:val="20"/>
        <w:spacing w:line="360" w:lineRule="auto"/>
        <w:ind w:firstLine="720"/>
        <w:jc w:val="both"/>
      </w:pPr>
      <w:r>
        <w:t>В связи с серьезным обострением ситуации в энергетической отрасли Приморского края необходимость в изучении экономико-технических показателей основных производителей электроэнергии в регионе является одной из важнейших тем в наши дни.</w:t>
      </w:r>
    </w:p>
    <w:p w:rsidR="007024D3" w:rsidRDefault="007024D3">
      <w:pPr>
        <w:pStyle w:val="21"/>
      </w:pPr>
      <w:r>
        <w:t xml:space="preserve">Тепловые электростанции вырабатывают электрическую и тепловую энергию для нужд народного хозяйства страны и коммунально-бытового обслуживания. В зависимости от источника энергии различают тепловые электростанции (ТЭС), гидроэлектрические станции (ГЭС), атомные электростанции (АЭС) и др. К ТЭС относятся конденсационные электростанции (КЭС) и теплоэлектроцентрали (ТЭЦ). В состав государственных районных электростанций (ГРЭС), обслуживающих крупные промышленные и жилые районы, как правило, входят конденсационные электростанции, использующие органическое топливо и не вырабатывающие тепловой энергии наряду с электрической. ТЭЦ работают также на органическом топливе, но в отличие от КЭС наряду с электроэнергией производят горячую воду и пар для нужд теплофикации. 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Одной из основных характеристик электростанций является установленная мощность, равная сумме номинальных мощностей электрогенераторов и теплофикационного оборудования. Номинальная мощность – это наибольшая мощность, при которой оборудование может работать длительное время в соответствии с техническими условиями.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Электроэнергия, вырабатываемая электростанциями указанных типов, составляла примерно 95% суммарной вырабатываемой электроэнергии электростанций страны. В том числе на долю КЭС, ТЭЦ, АЭС и ГЭС приходилось соответственно около 48, 28, 6 и 19% вырабатываемой электроэнергии. Остальная мощность относится к электростанциям с дизельными и другими двигателями.[18,5,7]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ТЭС страны входят в состав сложной многокомпонентной топливно-энергетической системы, состоящей из предприятий топливодобывающей, топливоперерабатывающей промышленности, транспортных средств доставки топлива от места добычи потребителям, предприятий переработки топлива в удобный для использования вид и систем распределения энергии между потребителями. Развитие топливно-энергетической системы оказывает решающее влияние на уровень энерговооруженности всех отраслей промышленности и сельского хозяйства, рост производительности труда.</w: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ind w:firstLine="720"/>
        <w:jc w:val="both"/>
        <w:rPr>
          <w:sz w:val="28"/>
        </w:rPr>
      </w:pPr>
    </w:p>
    <w:p w:rsidR="007024D3" w:rsidRDefault="007024D3">
      <w:pPr>
        <w:spacing w:line="360" w:lineRule="auto"/>
        <w:rPr>
          <w:b/>
          <w:bCs/>
          <w:sz w:val="28"/>
        </w:rPr>
      </w:pPr>
      <w:r>
        <w:rPr>
          <w:sz w:val="28"/>
        </w:rPr>
        <w:t xml:space="preserve">2 – </w:t>
      </w:r>
      <w:r>
        <w:rPr>
          <w:b/>
          <w:bCs/>
          <w:sz w:val="28"/>
        </w:rPr>
        <w:t>Состояние энергетической отрасли Дальнего Востока</w:t>
      </w:r>
    </w:p>
    <w:p w:rsidR="007024D3" w:rsidRDefault="007024D3">
      <w:pPr>
        <w:spacing w:line="360" w:lineRule="auto"/>
        <w:ind w:firstLine="720"/>
        <w:jc w:val="both"/>
        <w:rPr>
          <w:sz w:val="28"/>
        </w:rPr>
      </w:pP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b/>
          <w:bCs/>
          <w:sz w:val="28"/>
        </w:rPr>
        <w:t>Развитие отрасли.</w:t>
      </w:r>
      <w:r>
        <w:rPr>
          <w:sz w:val="28"/>
        </w:rPr>
        <w:t xml:space="preserve"> В отраслевой структуре экономики регионов Дальнего Востока энергетика занимает весьма заметное место - от 12,7% в Приморском крае и до 37% в Магаданской области. По стоимости основных производственных фондов это одна из самых емких сфер народного хозяйства. В Магаданской и Амурской областях, к примеру, в энергетике сосредоточено до 40% всех ОПФ. В Приморском и Хабаровском краях, экономика которых более диверсифицирована, на долю электроэнергетики приходится около 10% ОПФ. Тем не менее электроэнергетика на Дальнем Востоке не является отраслью специализации. Ее высокий удельный вес сегодня обусловлен более резким спадом производства в других отраслях промышленности.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Максимальная в истории дальневосточной энергетики величина выработки электроэнергии была достигнута в 1991 г. - 48,1 млрд кВт-ч. Это в 4,6 раза больше по сравнению с 1970 г. Среднегодовые темпы прироста выработки электроэнергии за 1970-1991 гг. были выше, чем в среднем по России, и составили 7,5%. Столь высокая динамика в этот период связана с реализацией программ электрификации Транссибирской железнодорожной магистрали, а также ростом энергопотребления в промышленности и жилом секторе. После 1991 г. наблюдается постепенный спад в производстве электроэнергии, вызванный общим экономическим кризисом в стране. За период с 1991 по 1997 г. падение производства в электроэнергетике Дальнего Востока составило 21,3%, в то время как во всей промышленности более 50%. В целом годовые темпы спада здесь были выше, чем в среднем по России, что свидетельствует о более депрессивном состоянии экономики региона.[19,20]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К концу 1998 г. суммарная установленная мощность электроэнергетической промышленности на Дальнем Востоке достигла 13,4 млн кВт. Электрическую энергию вырабатывают более 8800 установок, как общего пользования, так и ведомственных. При этом около 85% энергии вырабатывают электростанции общего пользования, принадлежащие крупным энергетическим компаниям, входящим в структуру РАО "ЕЭС России". Для региона характерно наличие большого количества маломощных дизельных установок, работающих в отдаленных и труднодоступных в транспортном отношении населенных пунктах. 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Дальний Восток относится к регионам с низким уровнем энергопотребления на душу населения. В 1990 г. валовое среднедушевое потребление электроэнергии здесь составляло 5800 кВт-ч при среднероссийском показателе 7254 кВт-ч. К 1996 г. энергопотребление в регионе снизилось до 4785 кВт-ч на душу населения, то есть на 18% по сравнению с 1990 г. В настоящее время среднедушевое потребление электроэнергии на Дальнем Востоке в 1,3-2,7 раза меньше, чем в индустриально развитых странах. 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Несмотря на бурное развитие дальневосточной энергетики в предшествующие десятилетия, отрасль остается слабым звеном в экономике региона. Из-за отсутствия свободных средств в последние годы практически прекратилось техническое и технологическое обновление. Многие начатые в 80-е годы энергетические объекты заморожены либо строятся крайне медленными темпами. Кризис платежной системы обострил ситуацию с обеспечением Дальнего Востока топливным сырьем. Низкозатратные виды энергетики пока не стали приоритетными в экономике региона. В результате всего этого себестоимость энергии на Дальнем Востоке как минимум в 4 раза выше, чем в соседних сибирских регионах, максимально использующих гидроэнергетический потенциал (Иркутской области, Красноярском крае).[21,9,10]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Электроэнергетика в ее нынешнем состоянии оказывает мощное ценовое давление на структуру затрат в промышленных отраслях и в конечном счете делает продукцию дальневосточных предприятий неконкурентоспособной на внутреннем и мировом рынке.</w:t>
      </w:r>
    </w:p>
    <w:p w:rsidR="007024D3" w:rsidRDefault="00A7015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4pt">
            <v:imagedata r:id="rId5" o:title="" grayscale="t" bilevel="t"/>
          </v:shape>
        </w:pic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b/>
          <w:bCs/>
          <w:sz w:val="28"/>
        </w:rPr>
        <w:t>Теплоэнергетика.</w:t>
      </w:r>
      <w:r>
        <w:rPr>
          <w:sz w:val="28"/>
        </w:rPr>
        <w:t xml:space="preserve"> Тепловые электростанции вырабатывают преобладающую долю всей производимой на Дальнем Востоке электроэнергии. Установленная мощность ТЭС общего пользования составляет 8,8 млн кВт, или 66% всех энергетических мощностей региона. В 1998 г. на долю тепловых электростанций приходилось 72% суммарной выработки электроэнергии на Дальнем Востоке.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Основным видом топлива для теплоэлектростанций является уголь. На угле работают все наиболее мощные электростанции региона: Приморская ГРЭС, Сахалинская ГРЭС, Аркагалинская ГРЭС (Магаданская область), Нерюнгринская ГРЭС (Якутия), а также ТЭЦ в административных центрах краев и областей Дальнего Востока. 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Электростанции региона (за исключением якутских и до недавнего времени амурских) не обеспечены полностью местным топливом, несмотря на значительные запасы энергетических углей во всех регионах. В Хабаровском крае более 80% потребностей в твердом топливе удовлетворяется за счет ввоза из Якутии, Забайкалья, Амурской области и других регионов России. В Приморье доля привозного угля составляет 30%, в Сахалинской области - 13% от общей потребности. 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Техническую основу теплоэлектростанций составляют турбоагрегаты и энергетическое оборудование российского производства. Максимальная единичная мощность турбоагрегата 215 тыс. кВт.[19,12,13]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b/>
          <w:bCs/>
          <w:sz w:val="28"/>
        </w:rPr>
        <w:t>Гидроэнергетика.</w:t>
      </w:r>
      <w:r>
        <w:rPr>
          <w:sz w:val="28"/>
        </w:rPr>
        <w:t xml:space="preserve"> На долю гидроэнергетики приходится 21% генерирующих мощностей на Дальнем Востоке и 27% суммарной выработки электроэнергии. При этом за последние семь лет удельный вес дальневосточных ГЭС в производстве электроэнергии вырос на 5 процентных пунктов. 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Гидроэнергетические ресурсы используются в Амурской, Магаданской областях и Якутии. На территории Дальнего Востока действует шесть ГЭС: Зейская, Колымская, Вилюйская-1, -2, -3, Адычанская. К числу главных гидроэлектростанций относятся: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i/>
          <w:iCs/>
          <w:sz w:val="28"/>
        </w:rPr>
        <w:t>Зейская ГЭС в Амурской области.</w:t>
      </w:r>
      <w:r>
        <w:rPr>
          <w:sz w:val="28"/>
        </w:rPr>
        <w:t xml:space="preserve"> ГЭС возведена в 650 км от устья р.Зея, левого притока Амура. Ее строительство было начато в 1964 г., пуск первого гидроагрегата мощностью 215 тыс. кВт состоялся в 1975 г. К 1978 г. на станции работало пять генераторов суммарной мощностью 1075 тыс. кВт. В настоящее время установленная мощность Зейской ГЭС 1330 тыс. кВт. Это самая крупная гидроэлектростанция на Дальнем Востоке. Здесь впервые в стране была сооружена крупная массивно-контрфорсная плотина и установлены самые мощные поворотно-лопастные диагональные гидротурбины. Станция оснащена современным оборудованием российского производства и системами автоматики. Площадь водохранилища, образованного плотиной, - 2419 кв. км, емкость при проектном уровне - 68,42 кубических километра. Доля Зейской ГЭС в выработке электроэнергии в Амурской области составляет 76%, в дальневосточном регионе - 12%. 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i/>
          <w:iCs/>
          <w:sz w:val="28"/>
        </w:rPr>
        <w:t>Колымская ГЭС в Магаданской области.</w:t>
      </w:r>
      <w:r>
        <w:rPr>
          <w:sz w:val="28"/>
        </w:rPr>
        <w:t xml:space="preserve"> Станция сооружена у впадения р.Дебин в Колыму. Строительство начато в 1978 г. В настоящее время генерирующая мощность ГЭС составляет 900 тыс. кВт. Колымская ГЭС производит около 80% электроэнергии в Магаданской области.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i/>
          <w:iCs/>
          <w:sz w:val="28"/>
        </w:rPr>
        <w:t>Вилюйская ГЭС в Республике Саха.</w:t>
      </w:r>
      <w:r>
        <w:rPr>
          <w:sz w:val="28"/>
        </w:rPr>
        <w:t xml:space="preserve"> Станция возведена у пос.Чернышевский, в Мирнинском улусе. Первая ее очередь мощностью 308 тыс. кВт строилась с 1963 по 1970 г. Вторая очередь (340 тыс. кВт) вступила в строй в 1976 г. Емкость водохранилища, образованного плотиной ГЭС, - 35,9 кубических километра. Общая генерирующая мощность станции 648 тыс. кВт, годовая выработка электроэнергии по проекту 2 млрд кВт-ч. В настоящее время Вилюйская ГЭС вместе с другими гидроэлектростанциями республики производит 40% от общей выработки электроэнергии в Якутии.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последние годы с целью сокращения затрат на доставку в труднодоступные районы дорогостоящего твердого и жидкого топлива на Дальнем Востоке началось строительство малых ГЭС. В 1994 г. на ключе Восток-2, на севере Приморья была построена первая в регионе мини-ГЭС. Ее установленная мощность 160 кВт, проектная годовая выработка энергии 800 тыс. кВт-ч. Позднее мини-ГЭС появилась на Камчатке. Она построена на р.Кобалан (в 9 км от пос.Анавгай), запущена в 1995 г. и имеет мощность 100 кВт. Эта мини-ГЭС стала первой в серии малых ГЭС, которые будут построены в Быстринском районе Камчатской области.[19,20,21]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b/>
          <w:bCs/>
          <w:sz w:val="28"/>
        </w:rPr>
        <w:t>Другие источники производства энергии.</w:t>
      </w:r>
      <w:r>
        <w:rPr>
          <w:sz w:val="28"/>
        </w:rPr>
        <w:t xml:space="preserve"> Альтернативные виды энергетики на Дальнем Востоке развиты слабо. Вместе с атомной энергетикой их доля в производстве электроэнергии не превышает 0,7%, в то время как по России в целом 17%. 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территории Чукотского автономного округа, вблизи пос.Билибино действует единственная на Дальнем Востоке атомная электростанция - Билибинская, построенная в 1976 г. Она обслуживает малонаселенные и неразвитые в промышленном отношении районы, и потому ее мощность невелика - 48 тыс. кВт. 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Камчатке в незначительных масштабах используется энергия термальных источников. Здесь в 60-е годы построена Паужетская геотермальная теплоэлектростанция мощностью 11 тыс. кВт. В декабре 1998 г. сдан в эксплуатацию первый блок Верхнемутновской ГеоТЭС мощностью 4 тыс. кВт. В ближайшее время на этой станции будет смонтировано еще два блока такой же мощности. 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Северо-восточная часть Сахалина - зона деятельности нефтегазодобывающей компании "Роснефть-Сахалинморнефтегаз" - обслуживается Охинской ТЭЦ, работающей на природном газе. На более дешевое газовое топливо переведены некоторые электростанции Хабаровского края, расположенные на пути газопровода "Оха-Комсомольск". 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Дальний Восток богат ветровой энергией, особенно в прибрежных районах. Однако этот источник энергии начал использоваться совсем недавно. В Хабаровском крае налажено собственное производство ветроэнергетических установок мощностью от 1,5 до 10 кВт и гибридных комплексов, в которых энергия ветра может быть совмещена с использованием энергии солнца, малых ГЭС, дизелей. На территории Дальнего Востока установлено немногим более 100 ветроэнергетических комплексов.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незначительных масштабах используется солнечная энергия, преимущественно в Приморском крае - регионе наиболее благоприятном для развития солнечной энергетики. В настоящее время в эксплуатации находится около 20 солнечных водонагревательных систем, изготовленных по конструкциям Института проблем морских технологий ДВО РАН (Владивосток).[19]</w:t>
      </w:r>
    </w:p>
    <w:p w:rsidR="007024D3" w:rsidRDefault="00A7015F">
      <w:pPr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026" type="#_x0000_t75" style="width:399pt;height:177.75pt">
            <v:imagedata r:id="rId6" o:title="" grayscale="t" bilevel="t"/>
          </v:shape>
        </w:pic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b/>
          <w:bCs/>
          <w:sz w:val="28"/>
        </w:rPr>
        <w:t>Энергосистемы.</w:t>
      </w:r>
      <w:r>
        <w:rPr>
          <w:sz w:val="28"/>
        </w:rPr>
        <w:t xml:space="preserve"> На Дальнем Востоке генерирующие мощности и передающие сети объединены в шесть энергосистем. Самые крупные из них охватывают Приморский край (установленная мощность 2692 тыс. кВт) и Республику Саха (2036 тыс. кВт). Остальные энергосистемы имеют мощность менее 2 млн кВт.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С точки зрения энергообеспечения некоторые регионы Дальнего Востока в силу их географического положения являются изолированными и самодостаточными. Абсолютно замкнутые энергосистемы имеют Сахалинская и Камчатская области. Из Магаданской области возможны небольшие перетоки энергии в самые северные районы Якутии и в Чукотский автономный округ. Энергосистемы южной зоны образуют единую энергосеть "Восток", которая позволяет регулировать энергетический баланс в регионах, но не имеет выхода на российские магистральные линии электропередачи. 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Традиционно энергодефицитными в этой сети были Приморский и Хабаровский края, где за счет собственных генерирующих мощностей покрывалось примерно 80% и 95% внутрирегиональных потребностей в электроэнергии. Недостающая электроэнергия поступала из Амурской области и Якутии. В часы пиковых нагрузок дефицит энергии в Приморском крае покрывался за счет перетоков из соседнего Хабаровского края. В последние годы в связи с резким падением промышленного производства Хабаровский край стал энергоизбыточным, а дефицит потребления в Приморье снизился до 5%. 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энергосетях обычно используется напряжение 110 и 220 кВ. Магистральные линии электропередачи напряжением 500 кВ являются федеральной собственностью. Большинство регионов обладают высокой степенью централизации электроснабжения. 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Перспективы отрасли. Дальнейшее развитие электроэнергетической промышленности на Дальнем Востоке продиктовано необходимостью технической модернизации, более широкого использования высокорентабельных видов энергетики и дешевых местных ресурсов. 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 xml:space="preserve">В рамках традиционной энергетики в будущем предполагается усилить роль гидроэлектростанций в обеспечении региона электроэнергией и теплом. Для этого в Амурской области, в 102 км от пос.Новобурейск, строится Бурейская ГЭС проектной мощностью 2000 тыс. кВт. Среднегодовая выработка на этой электростанции составит 7,1 млрд кВт-ч. Большая часть работ на Бурейской ГЭС выполнена. Ее ввод позволит компенсировать закрытие теплоэлектростанций с изношенным оборудованием и даст более дешевую электроэнергию соседним Хабаровскому и Приморскому краям. Кроме того, в северо-западной части Амурской области планируется построить еще одну ГЭС - на р.Гилюй. В Магаданской области в стадии строительства находится Усть-Среднеканская ГЭС проектной мощностью 1000 тыс. кВт. С вводом ее в эксплуатацию генерирующие мощности области возрастут в полтора раза. </w:t>
      </w:r>
      <w:r>
        <w:rPr>
          <w:sz w:val="28"/>
          <w:lang w:val="en-US"/>
        </w:rPr>
        <w:t>[1]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>С целью обеспечения устойчивого и экономически эффективного энергоснабжения труднодоступных районов в Приморском крае и Камчатской области планируется продолжить строительство малых ГЭС. На Камчатке помимо малых ГЭС в Быстринском районе возводится каскад малых ГЭС на р.Толмачева, который будет включать три станции общей мощностью 45 тыс. кВт.[19,20]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Сахалине в связи с широкомасштабным освоением в ближайшем будущем нефтегазовых месторождений приоритетное развитие получат электростанции, работающие на природном газе. В 1996 г. здесь начато строительство Ногликской газотурбинной станции. Расположенная в 6 км от магистрального газопровода Даги-Катангли-Ноглики, она будет потреблять до 71 млн куб. м газа в год и иметь мощность 72 тыс. кВт. В будущем планируется расширение Охинской ТЭЦ, на которой будут поставлены дополнительные парогазовые котлы единичной мощностью 80 тыс. кВт. Одновременно изолированный сегодня Охинский энергоузел предполагается соединить с Центральными энергосетями, тем самым будет завершено формирование единой энергосистемы на Сахалине. Прокладка газопровода на юг острова создаст условия для строительства Сахалинской ГРЭС-2 с парогазовыми генераторами мощностью 345 тыс. кВт. Новая электростанция позволит постепенно вывести из работы ныне действующую ГРЭС, которая исчерпала свой технический ресурс. На более экономичное и экологически чистое газовое топливо планируется перевести и ТЭЦ-1 в Южно-Сахалинске, которая работает сегодня на угле. 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Программы газификации электроэнергетической промышленности имеют также Хабаровский край и Камчатская область. В Хабаровском крае на газовое топливо будут переведены энергообъекты, находящиеся по пути следования ныне действующего газопровода Оха-Комсомольск и вблизи строящегося газопровода Комсомольск-Хабаровск. На Камчатке существуют проекты освоения газовых месторождений полуострова с одновременным переводом на газовое топливо действующих ТЭЦ, которые сегодня работают на дорогом привозном угле. В первую очередь на парогазовую технологию планируется перевести электростанцию в Соболевском районе (12 тыс. кВт). В настоящее время с участием японских компаний прорабатываются проекты монтажа газомазутных котлоагрегатов мощностью 400-500 тонн пара в час на Владивостокской ТЭЦ и двух газомазутных энергоблоков по 100 тыс. кВт каждый на Партизанской ГРЭС. 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 xml:space="preserve">Стратегия развития энергетики Дальнего Востока предполагает широкое использование там, где это возможно, нетрадиционных источников энергии. На Камчатке и Курильских островах намечается строительство нескольких геотермальных станций, в том числе Верхнемутновской ГеоТЭС установленной мощностью 12 тыс. кВт (первый блок сдан в эксплуатацию в 1998 г.), Мутновской ГеоТЭС из четырех энергоблоков общей мощностью 80 тыс. кВт. На действующей Паужетской ГеоТЭС в рамках программы ее модернизации планируется ввести дополнительные генераторы, в результате чего установленная мощность станции возрастет на 21 тыс. кВт. </w:t>
      </w:r>
      <w:r>
        <w:rPr>
          <w:sz w:val="28"/>
          <w:lang w:val="en-US"/>
        </w:rPr>
        <w:t>[19, 1]</w:t>
      </w:r>
    </w:p>
    <w:p w:rsidR="007024D3" w:rsidRDefault="007024D3">
      <w:pPr>
        <w:pStyle w:val="a5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отдаленной перспективе при существенном росте потребления электроэнергии промышленностью может появиться необходимость в строительстве атомных и приливных электростанций. Площадки под АЭС выбраны в Приморском и Хабаровском краях, проведены предпроектные исследования. Районы, благоприятные для сооружения ПЭС, находятся на побережье Охотского моря в Хабаровском крае. Имеются довольно детальные проработки проектов сооружения приливных электростанций в Тугурском и Пенженском заливах, где приливные колебания уровня моря достигают 13-14 м. Средняя мощность Пенженской ПЭС по проекту определена в 11500 тыс. кВт. Вместе с Тугурской ПЭС (10000 тыс. кВт) она в принципе может полностью удовлетворить будущие потребности юга Дальнего Востока в электроэнергии. [</w:t>
      </w:r>
      <w:r>
        <w:rPr>
          <w:sz w:val="28"/>
          <w:lang w:val="en-US"/>
        </w:rPr>
        <w:t>1, 14]</w:t>
      </w:r>
      <w:r>
        <w:rPr>
          <w:sz w:val="28"/>
        </w:rPr>
        <w:t xml:space="preserve"> </w: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 xml:space="preserve">3 – </w:t>
      </w:r>
      <w:r>
        <w:rPr>
          <w:b/>
          <w:bCs/>
          <w:sz w:val="28"/>
        </w:rPr>
        <w:t>Характеристика бурых углей</w:t>
      </w:r>
    </w:p>
    <w:p w:rsidR="007024D3" w:rsidRDefault="007024D3">
      <w:pPr>
        <w:spacing w:line="360" w:lineRule="auto"/>
        <w:jc w:val="both"/>
        <w:rPr>
          <w:b/>
          <w:bCs/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Бурые угли наиболее часто применяются в качестве горючего вещества, используемого для получения тепловой энергии в электрических, промышленных и отопительных установках и относятся к органическому топливу. Бурые угли относятся к ископаемым топливам и являются продуктом растительного происхождения. Длительное образование угля сопровождалось сложными химическими процессами, происходившими при определенной умеренной температуре (не превышающей 200-300К) и высоком давлении.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Бурые угли представляют собой землистую однородную массу, не содержащую включений, или черно-бурую массу, содержащую включения черного блестящего и матового угля, или же однородную, почти черную блестящую массу с раковистым изломом. К ним относятся неспекающиеся угли с высоким выходом летучих (</w:t>
      </w:r>
      <w:r>
        <w:rPr>
          <w:sz w:val="28"/>
          <w:lang w:val="en-US"/>
        </w:rPr>
        <w:t>V</w:t>
      </w:r>
      <w:r>
        <w:rPr>
          <w:sz w:val="28"/>
          <w:vertAlign w:val="superscript"/>
        </w:rPr>
        <w:t>Г</w:t>
      </w:r>
      <w:r>
        <w:rPr>
          <w:sz w:val="28"/>
        </w:rPr>
        <w:t>&gt;40). Повышенная влажность, а часто и зольность бурых углей служит причиной их невысокой теплоты сгорания. Они характеризуются высокой гигроскопичностью и высокой общей влажностью, пониженным содержанием углерода и повышенным содержанием кислорода. Эти угли обладают значительной склонностью к самовозгоранию.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По содержанию рабочей влаги они делятся на три группы:</w:t>
      </w:r>
    </w:p>
    <w:p w:rsidR="007024D3" w:rsidRDefault="007024D3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Б1 – с рабочей влагой &gt;40%;</w:t>
      </w:r>
    </w:p>
    <w:p w:rsidR="007024D3" w:rsidRDefault="007024D3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Б2 – от 30 до 40%;</w:t>
      </w:r>
    </w:p>
    <w:p w:rsidR="007024D3" w:rsidRDefault="007024D3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Б3 –  &lt; 30%.</w:t>
      </w:r>
    </w:p>
    <w:p w:rsidR="007024D3" w:rsidRDefault="007024D3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>По крупности:</w:t>
      </w:r>
    </w:p>
    <w:p w:rsidR="007024D3" w:rsidRDefault="007024D3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К – 50-100 мм (крупный);</w:t>
      </w:r>
    </w:p>
    <w:p w:rsidR="007024D3" w:rsidRDefault="007024D3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О – 25-50 мм (орех);</w:t>
      </w:r>
    </w:p>
    <w:p w:rsidR="007024D3" w:rsidRDefault="007024D3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М – 13-25 мм (мелкий). [</w:t>
      </w:r>
      <w:r>
        <w:rPr>
          <w:sz w:val="28"/>
          <w:lang w:val="en-US"/>
        </w:rPr>
        <w:t>4, 16, 17]</w: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i/>
          <w:iCs/>
          <w:sz w:val="28"/>
        </w:rPr>
        <w:t>Характеристика угля Артёмовского месторождения</w:t>
      </w:r>
      <w:r>
        <w:rPr>
          <w:sz w:val="28"/>
        </w:rPr>
        <w:t>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>Марка: Б, Класс: БЗКОМ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>Горючая масса:</w:t>
      </w:r>
    </w:p>
    <w:p w:rsidR="007024D3" w:rsidRDefault="007024D3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>Углерод: (С</w:t>
      </w:r>
      <w:r>
        <w:rPr>
          <w:sz w:val="28"/>
          <w:vertAlign w:val="superscript"/>
        </w:rPr>
        <w:t>Г</w:t>
      </w:r>
      <w:r>
        <w:rPr>
          <w:sz w:val="28"/>
        </w:rPr>
        <w:t>) – 71%; Водород (Н</w:t>
      </w:r>
      <w:r>
        <w:rPr>
          <w:sz w:val="28"/>
          <w:vertAlign w:val="superscript"/>
        </w:rPr>
        <w:t>Г</w:t>
      </w:r>
      <w:r>
        <w:rPr>
          <w:sz w:val="28"/>
        </w:rPr>
        <w:t>): 5.7; Азот (</w:t>
      </w:r>
      <w:r>
        <w:rPr>
          <w:sz w:val="28"/>
          <w:lang w:val="en-US"/>
        </w:rPr>
        <w:t>N</w:t>
      </w:r>
      <w:r>
        <w:rPr>
          <w:sz w:val="28"/>
          <w:vertAlign w:val="superscript"/>
        </w:rPr>
        <w:t>Г</w:t>
      </w:r>
      <w:r>
        <w:rPr>
          <w:sz w:val="28"/>
        </w:rPr>
        <w:t>): 1.4; Кислород (О</w:t>
      </w:r>
      <w:r>
        <w:rPr>
          <w:sz w:val="28"/>
          <w:vertAlign w:val="superscript"/>
        </w:rPr>
        <w:t>Г</w:t>
      </w:r>
      <w:r>
        <w:rPr>
          <w:sz w:val="28"/>
        </w:rPr>
        <w:t>): 21.3; Сера органическая (</w:t>
      </w:r>
      <w:r>
        <w:rPr>
          <w:sz w:val="28"/>
          <w:lang w:val="en-US"/>
        </w:rPr>
        <w:t>S</w:t>
      </w:r>
      <w:r>
        <w:rPr>
          <w:sz w:val="28"/>
          <w:vertAlign w:val="superscript"/>
        </w:rPr>
        <w:t>Г</w:t>
      </w:r>
      <w:r>
        <w:rPr>
          <w:sz w:val="28"/>
          <w:vertAlign w:val="subscript"/>
        </w:rPr>
        <w:t>орг</w:t>
      </w:r>
      <w:r>
        <w:rPr>
          <w:sz w:val="28"/>
        </w:rPr>
        <w:t>): 0.6; Выход летучих (V</w:t>
      </w:r>
      <w:r>
        <w:rPr>
          <w:sz w:val="28"/>
          <w:vertAlign w:val="superscript"/>
        </w:rPr>
        <w:t>Г</w:t>
      </w:r>
      <w:r>
        <w:rPr>
          <w:sz w:val="28"/>
        </w:rPr>
        <w:t>): 50%; Теплота сгорания: 28.99 МДж/кг (6900 ккал/кг).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>Характер нелетучего остатка – порошкообразный.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>Сухая масса: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Зола (%): А</w:t>
      </w:r>
      <w:r>
        <w:rPr>
          <w:sz w:val="28"/>
          <w:vertAlign w:val="superscript"/>
        </w:rPr>
        <w:t>С</w:t>
      </w:r>
      <w:r>
        <w:rPr>
          <w:sz w:val="28"/>
        </w:rPr>
        <w:t xml:space="preserve"> – 25.0; А</w:t>
      </w:r>
      <w:r>
        <w:rPr>
          <w:sz w:val="28"/>
          <w:vertAlign w:val="superscript"/>
        </w:rPr>
        <w:t>С</w:t>
      </w:r>
      <w:r>
        <w:rPr>
          <w:sz w:val="28"/>
          <w:vertAlign w:val="subscript"/>
        </w:rPr>
        <w:t>пред</w:t>
      </w:r>
      <w:r>
        <w:rPr>
          <w:sz w:val="28"/>
        </w:rPr>
        <w:t xml:space="preserve"> – 28.5;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Сера общая (</w:t>
      </w:r>
      <w:r>
        <w:rPr>
          <w:sz w:val="28"/>
          <w:lang w:val="en-US"/>
        </w:rPr>
        <w:t>S</w:t>
      </w:r>
      <w:r>
        <w:rPr>
          <w:sz w:val="28"/>
          <w:vertAlign w:val="superscript"/>
        </w:rPr>
        <w:t>С</w:t>
      </w:r>
      <w:r>
        <w:rPr>
          <w:sz w:val="28"/>
          <w:vertAlign w:val="subscript"/>
        </w:rPr>
        <w:t>общ</w:t>
      </w:r>
      <w:r>
        <w:rPr>
          <w:sz w:val="28"/>
        </w:rPr>
        <w:t>): 0.4%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>Гигроскопичность (</w:t>
      </w:r>
      <w:r>
        <w:rPr>
          <w:sz w:val="28"/>
          <w:lang w:val="en-US"/>
        </w:rPr>
        <w:t>W</w:t>
      </w:r>
      <w:r>
        <w:rPr>
          <w:sz w:val="28"/>
          <w:vertAlign w:val="superscript"/>
        </w:rPr>
        <w:t>ГИ</w:t>
      </w:r>
      <w:r>
        <w:rPr>
          <w:sz w:val="28"/>
        </w:rPr>
        <w:t>): 9.0%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>Рабочее топливо: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Влага: (</w:t>
      </w:r>
      <w:r>
        <w:rPr>
          <w:sz w:val="28"/>
          <w:lang w:val="en-US"/>
        </w:rPr>
        <w:t>W</w:t>
      </w:r>
      <w:r>
        <w:rPr>
          <w:sz w:val="28"/>
          <w:vertAlign w:val="superscript"/>
        </w:rPr>
        <w:t>Р</w:t>
      </w:r>
      <w:r>
        <w:rPr>
          <w:sz w:val="28"/>
        </w:rPr>
        <w:t>)</w:t>
      </w:r>
      <w:r>
        <w:rPr>
          <w:sz w:val="24"/>
        </w:rPr>
        <w:t xml:space="preserve"> </w:t>
      </w:r>
      <w:r>
        <w:rPr>
          <w:sz w:val="28"/>
        </w:rPr>
        <w:t>– 24.5%; (</w:t>
      </w:r>
      <w:r>
        <w:rPr>
          <w:sz w:val="28"/>
          <w:lang w:val="en-US"/>
        </w:rPr>
        <w:t>W</w:t>
      </w:r>
      <w:r>
        <w:rPr>
          <w:sz w:val="28"/>
          <w:vertAlign w:val="superscript"/>
        </w:rPr>
        <w:t>Р</w:t>
      </w:r>
      <w:r>
        <w:rPr>
          <w:sz w:val="28"/>
          <w:vertAlign w:val="subscript"/>
        </w:rPr>
        <w:t>пред</w:t>
      </w:r>
      <w:r>
        <w:rPr>
          <w:sz w:val="28"/>
        </w:rPr>
        <w:t>) – 29.0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Теплота сгорания (</w:t>
      </w:r>
      <w:r>
        <w:rPr>
          <w:sz w:val="28"/>
          <w:lang w:val="en-US"/>
        </w:rPr>
        <w:t>Q</w:t>
      </w:r>
      <w:r>
        <w:rPr>
          <w:sz w:val="28"/>
          <w:vertAlign w:val="superscript"/>
        </w:rPr>
        <w:t>Р</w:t>
      </w:r>
      <w:r>
        <w:rPr>
          <w:sz w:val="28"/>
          <w:vertAlign w:val="subscript"/>
        </w:rPr>
        <w:t>Н</w:t>
      </w:r>
      <w:r>
        <w:rPr>
          <w:sz w:val="28"/>
        </w:rPr>
        <w:t>): 14.85 МДж/кг (3570 ккал/кг).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>Коэф. размолоспособности (К</w:t>
      </w:r>
      <w:r>
        <w:rPr>
          <w:sz w:val="28"/>
          <w:vertAlign w:val="superscript"/>
        </w:rPr>
        <w:t>ВТИ</w:t>
      </w:r>
      <w:r>
        <w:rPr>
          <w:sz w:val="28"/>
          <w:vertAlign w:val="subscript"/>
        </w:rPr>
        <w:t>ЛО</w:t>
      </w:r>
      <w:r>
        <w:rPr>
          <w:sz w:val="28"/>
        </w:rPr>
        <w:t>): 0.92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>Плавкость золы (С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):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1140;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– 1435;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– 1495.</w:t>
      </w:r>
    </w:p>
    <w:p w:rsidR="007024D3" w:rsidRDefault="007024D3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[4, 16, 17]</w:t>
      </w:r>
    </w:p>
    <w:p w:rsidR="007024D3" w:rsidRDefault="007024D3">
      <w:pPr>
        <w:spacing w:line="360" w:lineRule="auto"/>
        <w:jc w:val="both"/>
        <w:rPr>
          <w:sz w:val="28"/>
        </w:rPr>
        <w:sectPr w:rsidR="007024D3">
          <w:pgSz w:w="11906" w:h="16838"/>
          <w:pgMar w:top="1440" w:right="1800" w:bottom="1440" w:left="1800" w:header="720" w:footer="720" w:gutter="0"/>
          <w:cols w:space="720"/>
        </w:sectPr>
      </w:pP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>4 -</w:t>
      </w:r>
      <w:r>
        <w:rPr>
          <w:b/>
          <w:sz w:val="28"/>
        </w:rPr>
        <w:t xml:space="preserve"> Описание и принципиальная схема ТЭЦ на твердом топливе.</w: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pStyle w:val="2"/>
        <w:spacing w:line="360" w:lineRule="auto"/>
        <w:jc w:val="both"/>
      </w:pPr>
      <w:r>
        <w:t>Тепловая схема ТЭЦ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ind w:firstLine="720"/>
        <w:jc w:val="both"/>
        <w:rPr>
          <w:sz w:val="28"/>
        </w:rPr>
      </w:pPr>
    </w:p>
    <w:p w:rsidR="007024D3" w:rsidRDefault="007024D3">
      <w:pPr>
        <w:spacing w:line="360" w:lineRule="auto"/>
        <w:ind w:firstLine="720"/>
        <w:jc w:val="both"/>
        <w:rPr>
          <w:sz w:val="28"/>
        </w:rPr>
      </w:pPr>
    </w:p>
    <w:p w:rsidR="007024D3" w:rsidRDefault="007024D3">
      <w:pPr>
        <w:spacing w:line="360" w:lineRule="auto"/>
        <w:ind w:firstLine="720"/>
        <w:jc w:val="both"/>
        <w:rPr>
          <w:sz w:val="28"/>
        </w:rPr>
      </w:pPr>
    </w:p>
    <w:p w:rsidR="007024D3" w:rsidRDefault="007024D3">
      <w:pPr>
        <w:spacing w:line="360" w:lineRule="auto"/>
        <w:ind w:firstLine="720"/>
        <w:jc w:val="both"/>
        <w:rPr>
          <w:sz w:val="28"/>
        </w:rPr>
      </w:pPr>
    </w:p>
    <w:p w:rsidR="007024D3" w:rsidRDefault="007024D3">
      <w:pPr>
        <w:spacing w:line="360" w:lineRule="auto"/>
        <w:ind w:firstLine="720"/>
        <w:jc w:val="both"/>
        <w:rPr>
          <w:sz w:val="28"/>
        </w:rPr>
      </w:pPr>
    </w:p>
    <w:p w:rsidR="007024D3" w:rsidRDefault="007024D3">
      <w:pPr>
        <w:spacing w:line="360" w:lineRule="auto"/>
        <w:ind w:firstLine="720"/>
        <w:jc w:val="both"/>
        <w:rPr>
          <w:sz w:val="28"/>
        </w:rPr>
      </w:pPr>
    </w:p>
    <w:p w:rsidR="007024D3" w:rsidRDefault="007024D3">
      <w:pPr>
        <w:spacing w:line="360" w:lineRule="auto"/>
        <w:ind w:firstLine="720"/>
        <w:jc w:val="both"/>
        <w:rPr>
          <w:sz w:val="28"/>
        </w:rPr>
      </w:pPr>
    </w:p>
    <w:p w:rsidR="007024D3" w:rsidRDefault="007024D3">
      <w:pPr>
        <w:spacing w:line="360" w:lineRule="auto"/>
        <w:ind w:firstLine="720"/>
        <w:jc w:val="both"/>
        <w:rPr>
          <w:sz w:val="28"/>
        </w:rPr>
      </w:pPr>
    </w:p>
    <w:p w:rsidR="007024D3" w:rsidRDefault="007024D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Принципиальная тепловая схема ТЭЦ с турбиной, имеющих два регулируемых отбора пара, приведена в приложении.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Пар из парового котла 1, через пароперегреватель 2 поступает в турбину, имеющую часть высокого 3, среднего 4 и низкого 5 давлений. Промежуточный перегрев пара не предусмотрен. Отработавший пар сбрасывается в конденсатор 6, охлаждаемый циркуляционной водой 7. Образующийся конденсат конденсатным насосом 8 прокачивается через тракт регенерации низкого давления в диаэратор 15, обогреваемый паром отбора [18, 2].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Смешивающиеся в диаэраторе потоки образуют питательную воду, которая питательным насосом 16 через подогреватели тракта регенерации высокого давления 17, 18, 19 подается в котел.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Тракт регенерации низкого давления содержит сальниковый подогреватель 10 (утилизирующий низкопотенциальные протечки 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С.П</w:t>
      </w:r>
      <w:r>
        <w:rPr>
          <w:sz w:val="28"/>
        </w:rPr>
        <w:t xml:space="preserve"> через лабиринтовые уплотнения турбины) и охладитель эжекторного пара 9.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рассматриваемой тепловой схеме предусмотрена двухступенчатая утилизация теплоты и рабочего тела продувочной воды в расширителях непрерывной продувки 22-23, которые по пару соединены с соответствующими (по давлению) точками тепловой схемы, а засоленные через теплообменник 24, подогревающий добавочную воду, сбрасывается в канализацию.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Турбина имеет органы, регулирующие поступление пара в турбину (а), из ЧВД в ЧСД (б), а из ЧСД в ЧНД (в). Прикрывая регулирующие органы б и в, можно получить разный пропуск пара в регулируемые отборы 25 и 26. Пар из отбора 25 поступает на производство 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, на диаэратор и регенерацию в ПВД-3. Конденсат от промышленного потребителя 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К.</w:t>
      </w:r>
      <w:r>
        <w:rPr>
          <w:sz w:val="28"/>
          <w:vertAlign w:val="subscript"/>
          <w:lang w:val="en-US"/>
        </w:rPr>
        <w:t>N</w:t>
      </w:r>
      <w:r>
        <w:rPr>
          <w:sz w:val="28"/>
        </w:rPr>
        <w:t xml:space="preserve"> возвращается в схему электростанции. Пар из отбора 26, выполненного сдвоенным, поступает в сетевую установку и систему регенерации.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Сетевая установка предназначена тепловому потребителю 27 теплоты на нужды отопления и горячего водоснабжения. Сетевая вода прокачивается через подогреватели 29, 30 сетевыми насосами 1 (28) и второго (31) подъема и через перемычку 32 поступает к потребителю.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При низких наружных температурах имеется возможность догревать воду в пикововм водогрейном котле 23. Конденсат греющего пара из сетевых подогревателей сливается индивидуально в соответствующие (по температуре) точки линии основного конденсата [18].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Рассмотренная принципиальная тепловая схема является типовой. Содержание в ней отдельных элементов может варьироваться на конкретных тепловых электрических станциях, а схемы включения этих элементов в основной тракт и взаимосвязь с другими элементами определяются требованиями экономичности, надежности, ремонтопригодности, удобства в эксплуатации, режимными условиями.</w: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Характеристики турбины и ее тепловой схемы Т-100/120-130</w:t>
      </w:r>
    </w:p>
    <w:p w:rsidR="007024D3" w:rsidRDefault="007024D3">
      <w:pPr>
        <w:spacing w:line="360" w:lineRule="auto"/>
        <w:jc w:val="both"/>
        <w:rPr>
          <w:b/>
          <w:sz w:val="28"/>
        </w:rPr>
      </w:pPr>
      <w:r>
        <w:rPr>
          <w:i/>
          <w:sz w:val="28"/>
        </w:rPr>
        <w:t>(использующейся на ТЭЦ-2 г. Владивостока)</w:t>
      </w:r>
    </w:p>
    <w:p w:rsidR="007024D3" w:rsidRDefault="007024D3">
      <w:pPr>
        <w:spacing w:line="360" w:lineRule="auto"/>
        <w:jc w:val="both"/>
        <w:rPr>
          <w:b/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Паровая турбина Т-100-130 Уральского тубромеханического завода номинальной мощностью 100 тыс. кВт при </w:t>
      </w:r>
      <w:r>
        <w:rPr>
          <w:sz w:val="28"/>
          <w:lang w:val="en-US"/>
        </w:rPr>
        <w:t>n</w:t>
      </w:r>
      <w:r>
        <w:rPr>
          <w:sz w:val="28"/>
        </w:rPr>
        <w:t xml:space="preserve"> – 3000 об/мин рассчитана для работы с конденцацией пара и одно-, двух- и трехступенчатым подогревом воды в сетевой подогревательной установке и в специально выделенном пучке конденсатора.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Расчетные параметры свежего пара Р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= 12.75 МПа (130 кг/см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),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= 565</w:t>
      </w:r>
      <w:r>
        <w:rPr>
          <w:sz w:val="28"/>
          <w:lang w:val="en-US"/>
        </w:rPr>
        <w:t> </w:t>
      </w:r>
      <w:r>
        <w:rPr>
          <w:sz w:val="28"/>
          <w:vertAlign w:val="superscript"/>
        </w:rPr>
        <w:t>0</w:t>
      </w:r>
      <w:r>
        <w:rPr>
          <w:sz w:val="28"/>
          <w:lang w:val="en-US"/>
        </w:rPr>
        <w:t>C</w:t>
      </w:r>
      <w:r>
        <w:rPr>
          <w:sz w:val="28"/>
        </w:rPr>
        <w:t>, номинальный расход охлаждающей воды 4.45 м</w:t>
      </w:r>
      <w:r>
        <w:rPr>
          <w:sz w:val="28"/>
          <w:vertAlign w:val="superscript"/>
        </w:rPr>
        <w:t>3</w:t>
      </w:r>
      <w:r>
        <w:rPr>
          <w:sz w:val="28"/>
        </w:rPr>
        <w:t>/с (16000 м</w:t>
      </w:r>
      <w:r>
        <w:rPr>
          <w:sz w:val="28"/>
          <w:vertAlign w:val="superscript"/>
        </w:rPr>
        <w:t>3</w:t>
      </w:r>
      <w:r>
        <w:rPr>
          <w:sz w:val="28"/>
        </w:rPr>
        <w:t>/ч). Турбина выполнена трехцилиндровой с 25 ступенями. В цилиндре высокого давления (ЦВД) 9 ступеней, цилиндр среднего давления (ЦСД) имеет 14 ступеней (10-23), цилиндр низкого давления (ЦНД) 2 ступени (24-25). Турбина имеет семь отборов, в том числе два регулируемых, отопительных (после 21-й и 23-й ступеней) и пять нерегулируемых (после 9, 11, 14, 17, и 19-й ступеней).</w: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Принципиальная тепловая схема турбоустановки приведена на рисунке. Подогрев основного конденсата и питательной воды осуществляется последовательно в охладителе эжектора (ЭЖ), сальниковом холодильнике (СХ), сальниковом подогревателе (СП), подогревателях низкого давления П1, П2, П3, П4, деаэраторе с давлением 0.589 МПа (6 кг/см</w:t>
      </w:r>
      <w:r>
        <w:rPr>
          <w:sz w:val="28"/>
          <w:vertAlign w:val="superscript"/>
        </w:rPr>
        <w:t>2</w:t>
      </w:r>
      <w:r>
        <w:rPr>
          <w:sz w:val="28"/>
        </w:rPr>
        <w:t>) и в трех подогревателях высокого давления П5, П6, П7. Подогреватели высокого давления имеют встроенные охладители пара и дренажа. Слив конденсата из подогревателей высокого давления – каскадный в деаэратор. Слив конденсата из ПНД4 в ПНД2 – каскадный, а из ПНД2 конденсат подается дренажным насосом в линию основного конденсатора за ПНД2. Слив конденсата из ПНД1, СП, СХ, ПЭ осуществляется в конденсатосборщик конденсатора.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Подогрев сетевой воды осуществляется в сетевых подогревателях ПСВ1 и ПСВ2 (двухступенчатый подогрев). Кроме того, для подогрева сетевой воды может быть использован специально выделенный теплофикационный пучок в конденсаторе (ТФК). В этом случае схема подогрева воды трехступенчатая.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Сетевой подогреватель №1 (ПСВ1) обогревается паром нижнего отопительного отбора (после 23-й ступени) и по пару не отключается. Сетевой подогреватель №2 (ПСВ2) питается паром верхнего отопительного отбора (после 21-й ступени). Конденсат греющего пара из ПСВ1 сливным насосом перекачивается в линию основного конденсатора за ПНД1, а из ПСД2 – в линию основного конденсатора за ПНД2.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Расход сетевой воды через сетевую установку составляет 417-1390 кг/с (1500-5000 т/ч) и должен быть одинаковым через оба сетевых подогревателя при их одновременной работе.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Максимальный расход пара на турбину 127.5 кг/</w:t>
      </w:r>
      <w:r>
        <w:rPr>
          <w:sz w:val="28"/>
          <w:lang w:val="en-US"/>
        </w:rPr>
        <w:t>c</w:t>
      </w:r>
      <w:r>
        <w:rPr>
          <w:sz w:val="28"/>
        </w:rPr>
        <w:t xml:space="preserve"> (460 т/ч). Номинальная нагрузка отборов – 186 МВт (160 Гкал/ч), что соответствует расходу пара ~ 86.2 кг/с (310 т/ч). Для модернизированной турбины Т-100/120-130-3 максимальный расход пара на турбину составляет 485 т/ч, отопительная нагрузка отборов 214 МВт (186 Гкал/ч). При использовании пучка конденсатора (ТФК) максимальная нагрузка регулируемых отборов при номинальной мощности 100 МВт расход пара на турбину составляет 100 кг/с (360 т/ч), максимальный пропуск пара через отсек 22, 23-й ступени не должен превышать 86.2 кг/с (310 т/ч). Пределы регулирования давления: в верхнем теплофикационном отборе 0.0589-0245 МПа (0.6-2.5 кгс/см</w:t>
      </w:r>
      <w:r>
        <w:rPr>
          <w:sz w:val="28"/>
          <w:vertAlign w:val="superscript"/>
        </w:rPr>
        <w:t>2</w:t>
      </w:r>
      <w:r>
        <w:rPr>
          <w:sz w:val="28"/>
        </w:rPr>
        <w:t>); в нижнем теплофикационном отборе 0.049-0196 МПа (0.5-2.0 кгс/см</w:t>
      </w:r>
      <w:r>
        <w:rPr>
          <w:sz w:val="28"/>
          <w:vertAlign w:val="superscript"/>
        </w:rPr>
        <w:t>2</w:t>
      </w:r>
      <w:r>
        <w:rPr>
          <w:sz w:val="28"/>
        </w:rPr>
        <w:t>) [15, 18].</w:t>
      </w:r>
    </w:p>
    <w:p w:rsidR="007024D3" w:rsidRDefault="007024D3">
      <w:pPr>
        <w:spacing w:line="360" w:lineRule="auto"/>
        <w:jc w:val="both"/>
        <w:rPr>
          <w:sz w:val="28"/>
        </w:rPr>
        <w:sectPr w:rsidR="007024D3">
          <w:pgSz w:w="11906" w:h="16838"/>
          <w:pgMar w:top="1440" w:right="1800" w:bottom="1440" w:left="1800" w:header="720" w:footer="720" w:gutter="0"/>
          <w:cols w:space="720"/>
        </w:sectPr>
      </w:pPr>
    </w:p>
    <w:p w:rsidR="007024D3" w:rsidRDefault="007024D3">
      <w:pPr>
        <w:spacing w:line="360" w:lineRule="auto"/>
        <w:jc w:val="both"/>
        <w:rPr>
          <w:b/>
          <w:sz w:val="28"/>
        </w:rPr>
      </w:pPr>
      <w:r>
        <w:rPr>
          <w:sz w:val="28"/>
        </w:rPr>
        <w:t xml:space="preserve">5 - </w:t>
      </w:r>
      <w:r>
        <w:rPr>
          <w:b/>
          <w:sz w:val="28"/>
        </w:rPr>
        <w:t>Теория горения твердого топлива</w:t>
      </w:r>
    </w:p>
    <w:p w:rsidR="007024D3" w:rsidRDefault="007024D3">
      <w:pPr>
        <w:spacing w:line="360" w:lineRule="auto"/>
        <w:jc w:val="both"/>
        <w:rPr>
          <w:b/>
          <w:sz w:val="28"/>
        </w:rPr>
      </w:pPr>
    </w:p>
    <w:p w:rsidR="007024D3" w:rsidRDefault="007024D3">
      <w:pPr>
        <w:pStyle w:val="20"/>
        <w:spacing w:line="360" w:lineRule="auto"/>
        <w:ind w:firstLine="720"/>
        <w:jc w:val="both"/>
      </w:pPr>
      <w:r>
        <w:t>Горение твердого топлива проходит через ряд стадий, накладывающихся друг на друга: прогрев, испарение влаги, выделение летучих и образование кокса, горение летучих и кокса. Определяющей является стадия горения кокса, т.е. углерода, т.к. углерод является главной горючей составляющей почти всех натуральных твердых топлив, кроме того, стадия горения кокса продолжительнее всех остальных (может занимать до 90% всего времени, необходимого для горения). Все стадии горения требуют затрат теплоты (иногда до 20-25% сгорания топлива). Процесс горения описывается следующими уравнениями реакций [3, 6]:</w:t>
      </w:r>
    </w:p>
    <w:p w:rsidR="007024D3" w:rsidRDefault="007024D3">
      <w:pPr>
        <w:pStyle w:val="20"/>
        <w:spacing w:line="360" w:lineRule="auto"/>
        <w:jc w:val="center"/>
      </w:pPr>
    </w:p>
    <w:p w:rsidR="007024D3" w:rsidRDefault="007024D3">
      <w:pPr>
        <w:pStyle w:val="20"/>
        <w:spacing w:line="360" w:lineRule="auto"/>
        <w:jc w:val="center"/>
      </w:pPr>
      <w:r>
        <w:t>С + О</w:t>
      </w:r>
      <w:r>
        <w:rPr>
          <w:vertAlign w:val="subscript"/>
        </w:rPr>
        <w:t>2</w:t>
      </w:r>
      <w:r>
        <w:rPr>
          <w:vertAlign w:val="subscript"/>
        </w:rPr>
        <w:softHyphen/>
      </w:r>
      <w:r>
        <w:t xml:space="preserve"> = СО</w:t>
      </w:r>
      <w:r>
        <w:rPr>
          <w:vertAlign w:val="subscript"/>
        </w:rPr>
        <w:t xml:space="preserve">2 </w:t>
      </w:r>
      <w:r>
        <w:t>(5.1)</w:t>
      </w:r>
    </w:p>
    <w:p w:rsidR="007024D3" w:rsidRDefault="007024D3">
      <w:pPr>
        <w:pStyle w:val="20"/>
        <w:spacing w:line="360" w:lineRule="auto"/>
        <w:jc w:val="center"/>
      </w:pPr>
      <w:r>
        <w:t>2С + О</w:t>
      </w:r>
      <w:r>
        <w:rPr>
          <w:vertAlign w:val="subscript"/>
        </w:rPr>
        <w:t>2</w:t>
      </w:r>
      <w:r>
        <w:t xml:space="preserve"> = 2СО (5.2)</w:t>
      </w:r>
    </w:p>
    <w:p w:rsidR="007024D3" w:rsidRDefault="007024D3">
      <w:pPr>
        <w:pStyle w:val="20"/>
        <w:spacing w:line="360" w:lineRule="auto"/>
        <w:jc w:val="center"/>
      </w:pPr>
      <w:r>
        <w:t>С + СО</w:t>
      </w:r>
      <w:r>
        <w:rPr>
          <w:vertAlign w:val="subscript"/>
        </w:rPr>
        <w:t>2</w:t>
      </w:r>
      <w:r>
        <w:t xml:space="preserve"> = 2СО (5.3)</w:t>
      </w:r>
    </w:p>
    <w:p w:rsidR="007024D3" w:rsidRDefault="007024D3">
      <w:pPr>
        <w:pStyle w:val="20"/>
        <w:spacing w:line="360" w:lineRule="auto"/>
        <w:jc w:val="center"/>
      </w:pPr>
      <w:r>
        <w:t>2СО + О</w:t>
      </w:r>
      <w:r>
        <w:rPr>
          <w:vertAlign w:val="subscript"/>
        </w:rPr>
        <w:t>2</w:t>
      </w:r>
      <w:r>
        <w:t xml:space="preserve"> = 2СО</w:t>
      </w:r>
      <w:r>
        <w:rPr>
          <w:vertAlign w:val="subscript"/>
        </w:rPr>
        <w:t xml:space="preserve">2 </w:t>
      </w:r>
      <w:r>
        <w:t>(5.4)</w:t>
      </w:r>
    </w:p>
    <w:p w:rsidR="007024D3" w:rsidRDefault="007024D3">
      <w:pPr>
        <w:pStyle w:val="20"/>
        <w:spacing w:line="360" w:lineRule="auto"/>
        <w:jc w:val="both"/>
      </w:pPr>
    </w:p>
    <w:p w:rsidR="007024D3" w:rsidRDefault="007024D3">
      <w:pPr>
        <w:pStyle w:val="20"/>
        <w:numPr>
          <w:ilvl w:val="0"/>
          <w:numId w:val="4"/>
        </w:numPr>
        <w:spacing w:line="360" w:lineRule="auto"/>
        <w:jc w:val="both"/>
      </w:pPr>
      <w:r>
        <w:t>первые три – гетерогенные, последняя – гомогенная.</w:t>
      </w:r>
    </w:p>
    <w:p w:rsidR="007024D3" w:rsidRDefault="007024D3">
      <w:pPr>
        <w:pStyle w:val="20"/>
        <w:spacing w:line="360" w:lineRule="auto"/>
        <w:jc w:val="both"/>
      </w:pPr>
      <w:r>
        <w:t xml:space="preserve">Во время горения частицы твердого топлива с диаметром </w:t>
      </w:r>
      <w:r>
        <w:rPr>
          <w:lang w:val="en-US"/>
        </w:rPr>
        <w:t>d</w:t>
      </w:r>
      <w:r>
        <w:t xml:space="preserve"> обдуваются газом, имеющим плотность </w:t>
      </w:r>
      <w:r>
        <w:rPr>
          <w:lang w:val="en-US"/>
        </w:rPr>
        <w:t>p</w:t>
      </w:r>
      <w:r>
        <w:t xml:space="preserve"> со скоростью </w:t>
      </w:r>
      <w:r>
        <w:rPr>
          <w:lang w:val="en-US"/>
        </w:rPr>
        <w:t>w</w:t>
      </w:r>
      <w:r>
        <w:rPr>
          <w:vertAlign w:val="subscript"/>
        </w:rPr>
        <w:t>0</w:t>
      </w:r>
      <w:r>
        <w:t>.</w:t>
      </w:r>
    </w:p>
    <w:p w:rsidR="007024D3" w:rsidRDefault="007024D3">
      <w:pPr>
        <w:pStyle w:val="20"/>
        <w:spacing w:line="360" w:lineRule="auto"/>
        <w:jc w:val="both"/>
      </w:pPr>
      <w:r>
        <w:t>Это создает  силу давления набегающего потока на частицы:</w:t>
      </w:r>
    </w:p>
    <w:p w:rsidR="007024D3" w:rsidRDefault="007024D3">
      <w:pPr>
        <w:pStyle w:val="20"/>
        <w:spacing w:line="360" w:lineRule="auto"/>
        <w:ind w:left="360"/>
        <w:jc w:val="both"/>
      </w:pPr>
    </w:p>
    <w:p w:rsidR="007024D3" w:rsidRDefault="007024D3">
      <w:pPr>
        <w:pStyle w:val="20"/>
        <w:spacing w:line="360" w:lineRule="auto"/>
        <w:ind w:left="360"/>
        <w:jc w:val="center"/>
        <w:rPr>
          <w:lang w:val="en-US"/>
        </w:rPr>
      </w:pPr>
      <w:r>
        <w:rPr>
          <w:lang w:val="en-US"/>
        </w:rPr>
        <w:t>P</w:t>
      </w:r>
      <w:r>
        <w:rPr>
          <w:vertAlign w:val="subscript"/>
          <w:lang w:val="en-US"/>
        </w:rPr>
        <w:t xml:space="preserve">c </w:t>
      </w:r>
      <w:r>
        <w:rPr>
          <w:lang w:val="en-US"/>
        </w:rPr>
        <w:t>= C(</w:t>
      </w:r>
      <w:r>
        <w:rPr>
          <w:lang w:val="en-US"/>
        </w:rPr>
        <w:sym w:font="Symbol" w:char="F070"/>
      </w:r>
      <w:r>
        <w:rPr>
          <w:lang w:val="en-US"/>
        </w:rPr>
        <w:t>d</w:t>
      </w:r>
      <w:r>
        <w:rPr>
          <w:vertAlign w:val="superscript"/>
          <w:lang w:val="en-US"/>
        </w:rPr>
        <w:t>2</w:t>
      </w:r>
      <w:r>
        <w:rPr>
          <w:lang w:val="en-US"/>
        </w:rPr>
        <w:t>/4)(w</w:t>
      </w:r>
      <w:r>
        <w:rPr>
          <w:vertAlign w:val="superscript"/>
          <w:lang w:val="en-US"/>
        </w:rPr>
        <w:t>2</w:t>
      </w:r>
      <w:r>
        <w:rPr>
          <w:vertAlign w:val="subscript"/>
          <w:lang w:val="en-US"/>
        </w:rPr>
        <w:t>0</w:t>
      </w:r>
      <w:r>
        <w:rPr>
          <w:lang w:val="en-US"/>
        </w:rPr>
        <w:t>/2)p (5.5)</w:t>
      </w:r>
    </w:p>
    <w:p w:rsidR="007024D3" w:rsidRDefault="007024D3">
      <w:pPr>
        <w:pStyle w:val="20"/>
        <w:spacing w:line="360" w:lineRule="auto"/>
        <w:ind w:left="360"/>
        <w:jc w:val="both"/>
        <w:rPr>
          <w:lang w:val="en-US"/>
        </w:rPr>
      </w:pPr>
    </w:p>
    <w:p w:rsidR="007024D3" w:rsidRDefault="007024D3">
      <w:pPr>
        <w:pStyle w:val="20"/>
        <w:spacing w:line="360" w:lineRule="auto"/>
        <w:jc w:val="both"/>
      </w:pPr>
      <w:r>
        <w:t>где С – коэффициент, зависящий от критерия рейнольдса.</w:t>
      </w:r>
    </w:p>
    <w:p w:rsidR="007024D3" w:rsidRDefault="007024D3">
      <w:pPr>
        <w:pStyle w:val="20"/>
        <w:spacing w:line="360" w:lineRule="auto"/>
        <w:jc w:val="both"/>
      </w:pPr>
      <w:r>
        <w:tab/>
        <w:t xml:space="preserve">Если сила тяжести частиц </w:t>
      </w:r>
      <w:r>
        <w:rPr>
          <w:lang w:val="en-US"/>
        </w:rPr>
        <w:t>G</w:t>
      </w:r>
      <w:r>
        <w:t>&gt;</w:t>
      </w:r>
      <w:r>
        <w:rPr>
          <w:lang w:val="en-US"/>
        </w:rPr>
        <w:t>P</w:t>
      </w:r>
      <w:r>
        <w:rPr>
          <w:vertAlign w:val="subscript"/>
          <w:lang w:val="en-US"/>
        </w:rPr>
        <w:t>C</w:t>
      </w:r>
      <w:r>
        <w:t xml:space="preserve">, то имеем плотный (неподвижный) слой в слоевых топках, если </w:t>
      </w:r>
      <w:r>
        <w:rPr>
          <w:lang w:val="en-US"/>
        </w:rPr>
        <w:t>G</w:t>
      </w:r>
      <w:r>
        <w:t>&lt;</w:t>
      </w:r>
      <w:r>
        <w:rPr>
          <w:lang w:val="en-US"/>
        </w:rPr>
        <w:t>P</w:t>
      </w:r>
      <w:r>
        <w:rPr>
          <w:vertAlign w:val="subscript"/>
          <w:lang w:val="en-US"/>
        </w:rPr>
        <w:t>C</w:t>
      </w:r>
      <w:r>
        <w:t xml:space="preserve">, то взвешенный слой в камерных (факельных или циклонных). Возможен и промежуточный режим псевдоожиренного (кипящего) слоя, когда соблюдается условие </w:t>
      </w:r>
      <w:r>
        <w:rPr>
          <w:lang w:val="en-US"/>
        </w:rPr>
        <w:t>G</w:t>
      </w:r>
      <w:r>
        <w:t>&lt;</w:t>
      </w:r>
      <w:r>
        <w:rPr>
          <w:lang w:val="en-US"/>
        </w:rPr>
        <w:t>P</w:t>
      </w:r>
      <w:r>
        <w:rPr>
          <w:vertAlign w:val="subscript"/>
          <w:lang w:val="en-US"/>
        </w:rPr>
        <w:t>C</w:t>
      </w:r>
      <w:r>
        <w:t xml:space="preserve">, но после прохождения слоя скорость газов падает до значения </w:t>
      </w:r>
      <w:r>
        <w:rPr>
          <w:lang w:val="en-US"/>
        </w:rPr>
        <w:t>w</w:t>
      </w:r>
      <w:r>
        <w:rPr>
          <w:vertAlign w:val="subscript"/>
        </w:rPr>
        <w:t>оп</w:t>
      </w:r>
      <w:r>
        <w:t xml:space="preserve">, поскольку свободное течение увеличивается; соответственно уменьшается и сила аэродинамического давления до </w:t>
      </w:r>
      <w:r>
        <w:rPr>
          <w:lang w:val="en-US"/>
        </w:rPr>
        <w:t>P</w:t>
      </w:r>
      <w:r>
        <w:rPr>
          <w:vertAlign w:val="subscript"/>
          <w:lang w:val="en-US"/>
        </w:rPr>
        <w:t>n</w:t>
      </w:r>
      <w:r>
        <w:t>&lt;</w:t>
      </w:r>
      <w:r>
        <w:rPr>
          <w:lang w:val="en-US"/>
        </w:rPr>
        <w:t>G</w:t>
      </w:r>
      <w:r>
        <w:t xml:space="preserve">; в итоге имеем </w:t>
      </w:r>
      <w:r>
        <w:rPr>
          <w:lang w:val="en-US"/>
        </w:rPr>
        <w:t>P</w:t>
      </w:r>
      <w:r>
        <w:rPr>
          <w:vertAlign w:val="subscript"/>
          <w:lang w:val="en-US"/>
        </w:rPr>
        <w:t>C</w:t>
      </w:r>
      <w:r>
        <w:t>&lt;</w:t>
      </w:r>
      <w:r>
        <w:rPr>
          <w:lang w:val="en-US"/>
        </w:rPr>
        <w:t>G</w:t>
      </w:r>
      <w:r>
        <w:t>&lt;</w:t>
      </w:r>
      <w:r>
        <w:rPr>
          <w:lang w:val="en-US"/>
        </w:rPr>
        <w:t>P</w:t>
      </w:r>
      <w:r>
        <w:rPr>
          <w:vertAlign w:val="subscript"/>
          <w:lang w:val="en-US"/>
        </w:rPr>
        <w:t>n</w:t>
      </w:r>
      <w:r>
        <w:t>.</w:t>
      </w:r>
    </w:p>
    <w:p w:rsidR="007024D3" w:rsidRDefault="00A7015F">
      <w:pPr>
        <w:pStyle w:val="20"/>
        <w:spacing w:line="360" w:lineRule="auto"/>
        <w:jc w:val="both"/>
      </w:pPr>
      <w:r>
        <w:rPr>
          <w:noProof/>
        </w:rPr>
        <w:pict>
          <v:group id="_x0000_s1059" style="position:absolute;left:0;text-align:left;margin-left:10.8pt;margin-top:0;width:403.2pt;height:201.6pt;z-index:251657728" coordorigin="1872,1728" coordsize="8064,4032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1872;top:1728;width:8064;height:4032">
              <v:textbox style="mso-next-textbox:#_x0000_s1026">
                <w:txbxContent>
                  <w:p w:rsidR="007024D3" w:rsidRDefault="007024D3"/>
                </w:txbxContent>
              </v:textbox>
            </v:shape>
            <v:line id="_x0000_s1027" style="position:absolute;flip:y" from="3888,2008" to="3888,5320">
              <v:stroke endarrow="block"/>
            </v:line>
            <v:line id="_x0000_s1028" style="position:absolute" from="2160,5176" to="4176,5176"/>
            <v:line id="_x0000_s1029" style="position:absolute;flip:x" from="3456,2152" to="3744,3736"/>
            <v:line id="_x0000_s1030" style="position:absolute;flip:x" from="2448,3736" to="3456,4600"/>
            <v:line id="_x0000_s1031" style="position:absolute" from="2448,4600" to="2448,5176"/>
            <v:line id="_x0000_s1032" style="position:absolute" from="3456,5032" to="3456,5320"/>
            <v:line id="_x0000_s1033" style="position:absolute" from="2880,5032" to="2880,5320"/>
            <v:line id="_x0000_s1034" style="position:absolute" from="2304,5032" to="2304,5320"/>
            <v:shape id="_x0000_s1035" type="#_x0000_t202" style="position:absolute;left:4032;top:5320;width:432;height:432" stroked="f">
              <v:textbox>
                <w:txbxContent>
                  <w:p w:rsidR="007024D3" w:rsidRDefault="007024D3">
                    <w:r>
                      <w:t>0</w:t>
                    </w:r>
                  </w:p>
                </w:txbxContent>
              </v:textbox>
            </v:shape>
            <v:shape id="_x0000_s1036" type="#_x0000_t202" style="position:absolute;left:2592;top:5320;width:1152;height:432" stroked="f">
              <v:textbox>
                <w:txbxContent>
                  <w:p w:rsidR="007024D3" w:rsidRDefault="007024D3">
                    <w:r>
                      <w:t>20        10</w:t>
                    </w:r>
                  </w:p>
                </w:txbxContent>
              </v:textbox>
            </v:shape>
            <v:line id="_x0000_s1037" style="position:absolute;flip:x" from="2304,3736" to="4176,3736"/>
            <v:shape id="_x0000_s1038" type="#_x0000_t202" style="position:absolute;left:4032;top:2872;width:720;height:432" stroked="f">
              <v:textbox style="mso-next-textbox:#_x0000_s1038">
                <w:txbxContent>
                  <w:p w:rsidR="007024D3" w:rsidRDefault="007024D3">
                    <w:pPr>
                      <w:rPr>
                        <w:sz w:val="18"/>
                        <w:lang w:val="en-US"/>
                      </w:rPr>
                    </w:pPr>
                    <w:r>
                      <w:rPr>
                        <w:sz w:val="18"/>
                        <w:lang w:val="en-US"/>
                      </w:rPr>
                      <w:t>a&lt;1</w:t>
                    </w:r>
                  </w:p>
                </w:txbxContent>
              </v:textbox>
            </v:shape>
            <v:shape id="_x0000_s1039" type="#_x0000_t202" style="position:absolute;left:4032;top:4024;width:720;height:432" stroked="f">
              <v:textbox>
                <w:txbxContent>
                  <w:p w:rsidR="007024D3" w:rsidRDefault="007024D3">
                    <w:pPr>
                      <w:rPr>
                        <w:sz w:val="18"/>
                        <w:lang w:val="en-US"/>
                      </w:rPr>
                    </w:pPr>
                    <w:r>
                      <w:rPr>
                        <w:sz w:val="18"/>
                        <w:lang w:val="en-US"/>
                      </w:rPr>
                      <w:t>a&gt;1</w:t>
                    </w:r>
                  </w:p>
                </w:txbxContent>
              </v:textbox>
            </v:shape>
            <v:shape id="_x0000_s1041" type="#_x0000_t202" style="position:absolute;left:4752;top:2152;width:2592;height:432">
              <v:textbox>
                <w:txbxContent>
                  <w:p w:rsidR="007024D3" w:rsidRDefault="007024D3">
                    <w:pPr>
                      <w:jc w:val="center"/>
                    </w:pPr>
                    <w:r>
                      <w:t>Надслойное пламя</w:t>
                    </w:r>
                  </w:p>
                </w:txbxContent>
              </v:textbox>
            </v:shape>
            <v:shape id="_x0000_s1042" type="#_x0000_t202" style="position:absolute;left:4752;top:2584;width:2592;height:576">
              <v:textbox>
                <w:txbxContent>
                  <w:p w:rsidR="007024D3" w:rsidRDefault="007024D3">
                    <w:pPr>
                      <w:jc w:val="center"/>
                    </w:pPr>
                    <w:r>
                      <w:t>Свежее топливо</w:t>
                    </w:r>
                  </w:p>
                </w:txbxContent>
              </v:textbox>
            </v:shape>
            <v:shape id="_x0000_s1043" type="#_x0000_t202" style="position:absolute;left:4752;top:3160;width:2592;height:1152">
              <v:textbox>
                <w:txbxContent>
                  <w:p w:rsidR="007024D3" w:rsidRDefault="007024D3">
                    <w:pPr>
                      <w:jc w:val="center"/>
                    </w:pPr>
                    <w:r>
                      <w:t>Горящий кокс</w:t>
                    </w:r>
                  </w:p>
                </w:txbxContent>
              </v:textbox>
            </v:shape>
            <v:shape id="_x0000_s1044" type="#_x0000_t202" style="position:absolute;left:4752;top:4312;width:2592;height:432">
              <v:textbox>
                <w:txbxContent>
                  <w:p w:rsidR="007024D3" w:rsidRDefault="007024D3">
                    <w:pPr>
                      <w:jc w:val="center"/>
                    </w:pPr>
                    <w:r>
                      <w:t>Шлак</w:t>
                    </w:r>
                  </w:p>
                </w:txbxContent>
              </v:textbox>
            </v:shape>
            <v:shape id="_x0000_s1045" type="#_x0000_t202" style="position:absolute;left:4752;top:4744;width:2592;height:432">
              <v:textbox>
                <w:txbxContent>
                  <w:p w:rsidR="007024D3" w:rsidRDefault="007024D3">
                    <w:pPr>
                      <w:jc w:val="center"/>
                    </w:pPr>
                    <w:r>
                      <w:t>Колосниковая решетка</w:t>
                    </w:r>
                  </w:p>
                </w:txbxContent>
              </v:textbox>
            </v:shape>
            <v:line id="_x0000_s1046" style="position:absolute;flip:y" from="7776,2152" to="7776,5176">
              <v:stroke endarrow="block"/>
            </v:line>
            <v:line id="_x0000_s1047" style="position:absolute" from="7776,5176" to="9792,5176">
              <v:stroke endarrow="block"/>
            </v:line>
            <v:shape id="_x0000_s1048" type="#_x0000_t202" style="position:absolute;left:7776;top:5320;width:2016;height:432" stroked="f">
              <v:textbox>
                <w:txbxContent>
                  <w:p w:rsidR="007024D3" w:rsidRDefault="007024D3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Температура</w:t>
                    </w:r>
                  </w:p>
                </w:txbxContent>
              </v:textbox>
            </v:shape>
            <v:line id="_x0000_s1049" style="position:absolute" from="8208,5032" to="8208,5320"/>
            <v:line id="_x0000_s1050" style="position:absolute" from="8640,5032" to="8640,5320"/>
            <v:line id="_x0000_s1051" style="position:absolute" from="9072,5032" to="9072,5320"/>
            <v:line id="_x0000_s1052" style="position:absolute" from="8640,2152" to="8784,2872"/>
            <v:line id="_x0000_s1053" style="position:absolute" from="8784,2872" to="9360,3448"/>
            <v:line id="_x0000_s1054" style="position:absolute" from="9360,3448" to="9360,3880"/>
            <v:line id="_x0000_s1055" style="position:absolute;flip:x" from="8208,3880" to="9360,4456"/>
            <v:line id="_x0000_s1056" style="position:absolute;flip:x" from="8064,4456" to="8208,5176"/>
            <v:shape id="_x0000_s1057" type="#_x0000_t202" style="position:absolute;left:4464;top:5320;width:1872;height:432" stroked="f">
              <v:textbox>
                <w:txbxContent>
                  <w:p w:rsidR="007024D3" w:rsidRDefault="007024D3">
                    <w:r>
                      <w:t>Концентрация О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line id="_x0000_s1058" style="position:absolute;flip:x y" from="4032,5320" to="4608,5464">
              <v:stroke endarrow="block"/>
            </v:line>
          </v:group>
        </w:pict>
      </w:r>
    </w:p>
    <w:p w:rsidR="007024D3" w:rsidRDefault="007024D3">
      <w:pPr>
        <w:pStyle w:val="20"/>
        <w:spacing w:line="360" w:lineRule="auto"/>
        <w:jc w:val="both"/>
      </w:pPr>
    </w:p>
    <w:p w:rsidR="007024D3" w:rsidRDefault="007024D3">
      <w:pPr>
        <w:pStyle w:val="20"/>
        <w:spacing w:line="360" w:lineRule="auto"/>
        <w:jc w:val="both"/>
      </w:pPr>
    </w:p>
    <w:p w:rsidR="007024D3" w:rsidRDefault="007024D3">
      <w:pPr>
        <w:pStyle w:val="20"/>
        <w:spacing w:line="360" w:lineRule="auto"/>
        <w:jc w:val="both"/>
      </w:pPr>
    </w:p>
    <w:p w:rsidR="007024D3" w:rsidRDefault="007024D3">
      <w:pPr>
        <w:pStyle w:val="20"/>
        <w:spacing w:line="360" w:lineRule="auto"/>
        <w:jc w:val="both"/>
      </w:pPr>
    </w:p>
    <w:p w:rsidR="007024D3" w:rsidRDefault="007024D3">
      <w:pPr>
        <w:pStyle w:val="20"/>
        <w:spacing w:line="360" w:lineRule="auto"/>
        <w:jc w:val="both"/>
      </w:pPr>
    </w:p>
    <w:p w:rsidR="007024D3" w:rsidRDefault="007024D3">
      <w:pPr>
        <w:pStyle w:val="20"/>
        <w:spacing w:line="360" w:lineRule="auto"/>
        <w:jc w:val="both"/>
      </w:pPr>
    </w:p>
    <w:p w:rsidR="007024D3" w:rsidRDefault="007024D3">
      <w:pPr>
        <w:pStyle w:val="20"/>
        <w:spacing w:line="360" w:lineRule="auto"/>
        <w:jc w:val="both"/>
      </w:pPr>
    </w:p>
    <w:p w:rsidR="007024D3" w:rsidRDefault="007024D3">
      <w:pPr>
        <w:pStyle w:val="20"/>
        <w:spacing w:line="360" w:lineRule="auto"/>
        <w:jc w:val="both"/>
      </w:pPr>
    </w:p>
    <w:p w:rsidR="007024D3" w:rsidRDefault="007024D3">
      <w:pPr>
        <w:pStyle w:val="20"/>
        <w:spacing w:line="360" w:lineRule="auto"/>
        <w:jc w:val="both"/>
      </w:pPr>
      <w:r>
        <w:tab/>
        <w:t>Рассмотрение структуры горящего слоя позволяет составить более детальную картину процесса горения. Под слоем свежего топлива находится горящий кокс. После подогрева поступившего топлива происходит испарение влаги и выделение летучи. Одновременно с выделением летучих образуется кокс, опускающийся в нижний слой взамен выгоревшего в нем кокса. С раскаленных кусочков кокса каплями вниз стекает шлак, затвердевая на колосниковой решётке, откуда периодически его удаляют.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нижней части кокса одновременно образуются оба окисла углерода СО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и СО. Эту зону называют окислительной зоной.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 концу окислительной зоны концентрация кислорода снижается до 1-2%, а СО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достигает максимума. Над окисленной зоной находится восстановительная зона, в которой кислород практически отсутствует.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Углекислый газ здесь взаимодействует с раскаленным углеродом с образованием окиси углерода, что приводит к уменьшению содержимого углекислого газа и увеличению окиси углерода по высоте восстановительной зоны.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восстановительной зоне возможно также эндотермическая реакция разложения водяных паров с образованием еще одного горючего компонента – водорода. Образование горючих газов из топлива (СО, Н) составляет процесс газификации топлива.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Температура в окислительной зоне резко возрастает по высоте и достигает максимума там, где наибольшая концентрация СО</w:t>
      </w:r>
      <w:r>
        <w:rPr>
          <w:sz w:val="28"/>
          <w:vertAlign w:val="subscript"/>
        </w:rPr>
        <w:t>2</w:t>
      </w:r>
      <w:r>
        <w:rPr>
          <w:sz w:val="28"/>
        </w:rPr>
        <w:t>. В восстановительной зоне температура меньше чем в окислительной (реакция взаимодействия СО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с раскаленным С – эндотермическая) [9, 6, 4].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Знание структуры горящего слоя оказывает реальную помощь при проектировании и выборе типа котла для сжигания органического топлива.</w: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6 – Расчет экономических показателей</w:t>
      </w:r>
    </w:p>
    <w:p w:rsidR="007024D3" w:rsidRDefault="007024D3">
      <w:pPr>
        <w:spacing w:line="360" w:lineRule="auto"/>
        <w:jc w:val="both"/>
        <w:rPr>
          <w:sz w:val="24"/>
        </w:rPr>
      </w:pPr>
    </w:p>
    <w:p w:rsidR="007024D3" w:rsidRDefault="007024D3">
      <w:pPr>
        <w:pStyle w:val="3"/>
        <w:spacing w:line="360" w:lineRule="auto"/>
        <w:ind w:firstLine="720"/>
      </w:pPr>
      <w:r>
        <w:t>Термический КПД цикла для теплоэлектроцентрали определяется как отношение полезной работы к подведенной теплоте. Поскольку на ТЭЦ значительная часть теплоты используется не для производства механической работы, то и термический КПД при этом снижается.</w:t>
      </w:r>
    </w:p>
    <w:p w:rsidR="007024D3" w:rsidRDefault="007024D3">
      <w:pPr>
        <w:pStyle w:val="3"/>
        <w:spacing w:line="360" w:lineRule="auto"/>
        <w:ind w:firstLine="720"/>
      </w:pPr>
    </w:p>
    <w:p w:rsidR="007024D3" w:rsidRDefault="007024D3">
      <w:pPr>
        <w:pStyle w:val="3"/>
        <w:spacing w:line="360" w:lineRule="auto"/>
        <w:ind w:firstLine="720"/>
      </w:pPr>
      <w:r>
        <w:t>Начальные параметры для расчета технико-экономических показателей ТЭЦ:</w:t>
      </w:r>
    </w:p>
    <w:p w:rsidR="007024D3" w:rsidRDefault="007024D3">
      <w:pPr>
        <w:pStyle w:val="3"/>
        <w:spacing w:line="360" w:lineRule="auto"/>
        <w:ind w:firstLine="720"/>
      </w:pPr>
      <w:r>
        <w:sym w:font="Symbol" w:char="F068"/>
      </w:r>
      <w:r>
        <w:rPr>
          <w:vertAlign w:val="subscript"/>
        </w:rPr>
        <w:t>ТР</w:t>
      </w:r>
      <w:r>
        <w:t>=71.2%;</w:t>
      </w:r>
    </w:p>
    <w:p w:rsidR="007024D3" w:rsidRDefault="007024D3">
      <w:pPr>
        <w:pStyle w:val="3"/>
        <w:spacing w:line="360" w:lineRule="auto"/>
        <w:ind w:firstLine="720"/>
      </w:pPr>
      <w:r>
        <w:sym w:font="Symbol" w:char="F068"/>
      </w:r>
      <w:r>
        <w:rPr>
          <w:vertAlign w:val="subscript"/>
        </w:rPr>
        <w:t>ПК</w:t>
      </w:r>
      <w:r>
        <w:t>=63.3%;</w:t>
      </w:r>
    </w:p>
    <w:p w:rsidR="007024D3" w:rsidRDefault="007024D3">
      <w:pPr>
        <w:pStyle w:val="3"/>
        <w:spacing w:line="360" w:lineRule="auto"/>
        <w:ind w:firstLine="720"/>
      </w:pPr>
      <w:r>
        <w:rPr>
          <w:lang w:val="en-US"/>
        </w:rPr>
        <w:t>Q</w:t>
      </w:r>
      <w:r>
        <w:rPr>
          <w:vertAlign w:val="subscript"/>
        </w:rPr>
        <w:t>С</w:t>
      </w:r>
      <w:r>
        <w:t>=21100000 кДж;</w:t>
      </w:r>
    </w:p>
    <w:p w:rsidR="007024D3" w:rsidRDefault="007024D3">
      <w:pPr>
        <w:pStyle w:val="3"/>
        <w:spacing w:line="360" w:lineRule="auto"/>
        <w:ind w:firstLine="720"/>
      </w:pPr>
      <w:r>
        <w:rPr>
          <w:lang w:val="en-US"/>
        </w:rPr>
        <w:t>N</w:t>
      </w:r>
      <w:r>
        <w:rPr>
          <w:vertAlign w:val="subscript"/>
        </w:rPr>
        <w:t>Э</w:t>
      </w:r>
      <w:r>
        <w:t>=550000 кДж;</w:t>
      </w:r>
    </w:p>
    <w:p w:rsidR="007024D3" w:rsidRDefault="007024D3">
      <w:pPr>
        <w:pStyle w:val="3"/>
        <w:spacing w:line="360" w:lineRule="auto"/>
        <w:ind w:firstLine="720"/>
      </w:pPr>
      <w:r>
        <w:rPr>
          <w:lang w:val="en-US"/>
        </w:rPr>
        <w:t>Q</w:t>
      </w:r>
      <w:r>
        <w:rPr>
          <w:vertAlign w:val="subscript"/>
        </w:rPr>
        <w:t>ТУ</w:t>
      </w:r>
      <w:r>
        <w:t>=1850000 кДж;</w:t>
      </w:r>
    </w:p>
    <w:p w:rsidR="007024D3" w:rsidRDefault="007024D3">
      <w:pPr>
        <w:pStyle w:val="3"/>
        <w:spacing w:line="360" w:lineRule="auto"/>
        <w:ind w:firstLine="720"/>
      </w:pPr>
      <w:r>
        <w:rPr>
          <w:lang w:val="en-US"/>
        </w:rPr>
        <w:t>Q</w:t>
      </w:r>
      <w:r>
        <w:rPr>
          <w:vertAlign w:val="subscript"/>
        </w:rPr>
        <w:t>Т</w:t>
      </w:r>
      <w:r>
        <w:t>=490000 кДж;</w:t>
      </w:r>
    </w:p>
    <w:p w:rsidR="007024D3" w:rsidRDefault="007024D3">
      <w:pPr>
        <w:pStyle w:val="3"/>
        <w:spacing w:line="360" w:lineRule="auto"/>
        <w:ind w:firstLine="720"/>
      </w:pPr>
      <w:r>
        <w:rPr>
          <w:lang w:val="en-US"/>
        </w:rPr>
        <w:t>Q</w:t>
      </w:r>
      <w:r>
        <w:rPr>
          <w:vertAlign w:val="subscript"/>
        </w:rPr>
        <w:t>ОПТ</w:t>
      </w:r>
      <w:r>
        <w:t>=220000 кДж.</w:t>
      </w:r>
    </w:p>
    <w:p w:rsidR="007024D3" w:rsidRDefault="007024D3">
      <w:pPr>
        <w:pStyle w:val="3"/>
        <w:spacing w:line="360" w:lineRule="auto"/>
        <w:ind w:firstLine="720"/>
      </w:pPr>
    </w:p>
    <w:p w:rsidR="007024D3" w:rsidRDefault="007024D3">
      <w:pPr>
        <w:pStyle w:val="3"/>
        <w:spacing w:line="360" w:lineRule="auto"/>
        <w:ind w:firstLine="720"/>
      </w:pP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Коэффициент полезного действия турбоустановки по производству электроэнергии можно записать следующим образом:</w: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A7015F">
      <w:pPr>
        <w:spacing w:line="360" w:lineRule="auto"/>
        <w:jc w:val="center"/>
        <w:rPr>
          <w:sz w:val="28"/>
        </w:rPr>
      </w:pPr>
      <w:r>
        <w:rPr>
          <w:position w:val="-12"/>
          <w:sz w:val="28"/>
        </w:rPr>
        <w:pict>
          <v:shape id="_x0000_i1027" type="#_x0000_t75" style="width:111pt;height:18.75pt">
            <v:imagedata r:id="rId7" o:title=""/>
          </v:shape>
        </w:pict>
      </w:r>
      <w:r w:rsidR="007024D3">
        <w:rPr>
          <w:sz w:val="28"/>
        </w:rPr>
        <w:t xml:space="preserve">      (6.1)</w:t>
      </w:r>
    </w:p>
    <w:p w:rsidR="007024D3" w:rsidRDefault="007024D3">
      <w:pPr>
        <w:spacing w:line="360" w:lineRule="auto"/>
        <w:jc w:val="center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ТУ</w:t>
      </w:r>
      <w:r>
        <w:rPr>
          <w:sz w:val="28"/>
        </w:rPr>
        <w:t xml:space="preserve"> и 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Т</w:t>
      </w:r>
      <w:r>
        <w:rPr>
          <w:sz w:val="28"/>
        </w:rPr>
        <w:t xml:space="preserve"> – соответственно расходы теплоты турбоустановкой и внешним потребителем.</w: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A7015F">
      <w:pPr>
        <w:spacing w:line="360" w:lineRule="auto"/>
        <w:jc w:val="center"/>
        <w:rPr>
          <w:sz w:val="28"/>
        </w:rPr>
      </w:pPr>
      <w:r>
        <w:rPr>
          <w:position w:val="-28"/>
          <w:sz w:val="28"/>
        </w:rPr>
        <w:pict>
          <v:shape id="_x0000_i1028" type="#_x0000_t75" style="width:249.75pt;height:35.25pt">
            <v:imagedata r:id="rId8" o:title=""/>
          </v:shape>
        </w:pict>
      </w:r>
    </w:p>
    <w:p w:rsidR="007024D3" w:rsidRDefault="007024D3">
      <w:pPr>
        <w:spacing w:line="360" w:lineRule="auto"/>
        <w:jc w:val="center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Коэффициент полезного действия теплофикационной турбоустановки по отпуску тепловой энергии учитывает потери теплоты, связанные в основном с потерями в окружающую среду в сетевых подогревателях и трубопроводах до границы ТЭЦ [18]:</w: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A7015F">
      <w:pPr>
        <w:spacing w:line="360" w:lineRule="auto"/>
        <w:jc w:val="center"/>
        <w:rPr>
          <w:sz w:val="28"/>
        </w:rPr>
      </w:pPr>
      <w:r>
        <w:rPr>
          <w:position w:val="-12"/>
          <w:sz w:val="28"/>
        </w:rPr>
        <w:pict>
          <v:shape id="_x0000_i1029" type="#_x0000_t75" style="width:78.75pt;height:18.75pt">
            <v:imagedata r:id="rId9" o:title=""/>
          </v:shape>
        </w:pict>
      </w:r>
      <w:r w:rsidR="007024D3">
        <w:rPr>
          <w:sz w:val="28"/>
        </w:rPr>
        <w:t xml:space="preserve">     (6.2)</w:t>
      </w:r>
    </w:p>
    <w:p w:rsidR="007024D3" w:rsidRDefault="007024D3">
      <w:pPr>
        <w:spacing w:line="360" w:lineRule="auto"/>
        <w:jc w:val="center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ОТП</w:t>
      </w:r>
      <w:r>
        <w:rPr>
          <w:sz w:val="28"/>
        </w:rPr>
        <w:t xml:space="preserve"> и 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Т</w:t>
      </w:r>
      <w:r>
        <w:rPr>
          <w:sz w:val="28"/>
        </w:rPr>
        <w:t xml:space="preserve"> – соответственно отпуск теплоты внешнему потребителю и затраты теплоты на него турбоустановкой [18].</w: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A7015F">
      <w:pPr>
        <w:spacing w:line="360" w:lineRule="auto"/>
        <w:jc w:val="center"/>
        <w:rPr>
          <w:sz w:val="28"/>
        </w:rPr>
      </w:pPr>
      <w:r>
        <w:rPr>
          <w:position w:val="-28"/>
          <w:sz w:val="28"/>
        </w:rPr>
        <w:pict>
          <v:shape id="_x0000_i1030" type="#_x0000_t75" style="width:174pt;height:35.25pt">
            <v:imagedata r:id="rId10" o:title=""/>
          </v:shape>
        </w:pic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КПД ТЭЦ по производству электроэнергии [18]:</w: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A7015F">
      <w:pPr>
        <w:spacing w:line="360" w:lineRule="auto"/>
        <w:jc w:val="center"/>
        <w:rPr>
          <w:sz w:val="28"/>
        </w:rPr>
      </w:pPr>
      <w:r>
        <w:rPr>
          <w:position w:val="-30"/>
          <w:sz w:val="28"/>
        </w:rPr>
        <w:pict>
          <v:shape id="_x0000_i1031" type="#_x0000_t75" style="width:126pt;height:35.25pt">
            <v:imagedata r:id="rId11" o:title=""/>
          </v:shape>
        </w:pict>
      </w:r>
      <w:r w:rsidR="007024D3">
        <w:rPr>
          <w:sz w:val="28"/>
        </w:rPr>
        <w:t xml:space="preserve">   (6.3),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 w:rsidR="00A7015F">
        <w:rPr>
          <w:position w:val="-12"/>
          <w:sz w:val="32"/>
        </w:rPr>
        <w:pict>
          <v:shape id="_x0000_i1032" type="#_x0000_t75" style="width:17.25pt;height:21pt">
            <v:imagedata r:id="rId12" o:title=""/>
          </v:shape>
        </w:pict>
      </w:r>
      <w:r>
        <w:rPr>
          <w:sz w:val="32"/>
        </w:rPr>
        <w:t xml:space="preserve">- </w:t>
      </w:r>
      <w:r>
        <w:rPr>
          <w:sz w:val="28"/>
        </w:rPr>
        <w:t>расход топлива на производство теплоты, отпускаемой потребителю.</w: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7024D3" w:rsidRDefault="00A7015F">
      <w:pPr>
        <w:spacing w:line="360" w:lineRule="auto"/>
        <w:jc w:val="center"/>
        <w:rPr>
          <w:sz w:val="28"/>
        </w:rPr>
      </w:pPr>
      <w:r>
        <w:rPr>
          <w:position w:val="-12"/>
          <w:sz w:val="28"/>
        </w:rPr>
        <w:pict>
          <v:shape id="_x0000_i1033" type="#_x0000_t75" style="width:198.75pt;height:18.75pt">
            <v:imagedata r:id="rId13" o:title=""/>
          </v:shape>
        </w:pict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КПД ТЭЦ по производству теплоты для внешнего потребителя [18]:</w: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A7015F">
      <w:pPr>
        <w:spacing w:line="360" w:lineRule="auto"/>
        <w:jc w:val="center"/>
        <w:rPr>
          <w:sz w:val="28"/>
        </w:rPr>
      </w:pPr>
      <w:r>
        <w:rPr>
          <w:position w:val="-38"/>
          <w:sz w:val="28"/>
        </w:rPr>
        <w:pict>
          <v:shape id="_x0000_i1034" type="#_x0000_t75" style="width:129.75pt;height:39pt">
            <v:imagedata r:id="rId14" o:title=""/>
          </v:shape>
        </w:pict>
      </w:r>
      <w:r w:rsidR="007024D3">
        <w:rPr>
          <w:sz w:val="28"/>
        </w:rPr>
        <w:t xml:space="preserve">   (6.4)</w:t>
      </w:r>
    </w:p>
    <w:p w:rsidR="007024D3" w:rsidRDefault="007024D3">
      <w:pPr>
        <w:spacing w:line="360" w:lineRule="auto"/>
        <w:jc w:val="center"/>
        <w:rPr>
          <w:sz w:val="28"/>
        </w:rPr>
      </w:pPr>
    </w:p>
    <w:p w:rsidR="007024D3" w:rsidRDefault="00A7015F">
      <w:pPr>
        <w:spacing w:line="360" w:lineRule="auto"/>
        <w:jc w:val="center"/>
        <w:rPr>
          <w:sz w:val="28"/>
        </w:rPr>
      </w:pPr>
      <w:r>
        <w:rPr>
          <w:position w:val="-12"/>
          <w:sz w:val="28"/>
        </w:rPr>
        <w:pict>
          <v:shape id="_x0000_i1035" type="#_x0000_t75" style="width:200.25pt;height:18.75pt">
            <v:imagedata r:id="rId15" o:title=""/>
          </v:shape>
        </w:pic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>Общий КПД ТЭЦ [18]:</w:t>
      </w:r>
    </w:p>
    <w:p w:rsidR="007024D3" w:rsidRDefault="00A7015F">
      <w:pPr>
        <w:spacing w:line="360" w:lineRule="auto"/>
        <w:jc w:val="center"/>
        <w:rPr>
          <w:sz w:val="28"/>
        </w:rPr>
      </w:pPr>
      <w:r>
        <w:rPr>
          <w:position w:val="-30"/>
          <w:sz w:val="28"/>
        </w:rPr>
        <w:pict>
          <v:shape id="_x0000_i1036" type="#_x0000_t75" style="width:84pt;height:35.25pt">
            <v:imagedata r:id="rId16" o:title=""/>
          </v:shape>
        </w:pict>
      </w:r>
      <w:r w:rsidR="007024D3">
        <w:rPr>
          <w:sz w:val="28"/>
        </w:rPr>
        <w:t xml:space="preserve">  (6.5)</w:t>
      </w:r>
    </w:p>
    <w:p w:rsidR="007024D3" w:rsidRDefault="007024D3">
      <w:pPr>
        <w:spacing w:line="360" w:lineRule="auto"/>
        <w:jc w:val="center"/>
        <w:rPr>
          <w:sz w:val="28"/>
        </w:rPr>
      </w:pPr>
    </w:p>
    <w:p w:rsidR="007024D3" w:rsidRDefault="00A7015F">
      <w:pPr>
        <w:spacing w:line="360" w:lineRule="auto"/>
        <w:jc w:val="center"/>
        <w:rPr>
          <w:sz w:val="28"/>
        </w:rPr>
      </w:pPr>
      <w:r>
        <w:rPr>
          <w:position w:val="-28"/>
          <w:sz w:val="28"/>
        </w:rPr>
        <w:pict>
          <v:shape id="_x0000_i1037" type="#_x0000_t75" style="width:240pt;height:35.25pt">
            <v:imagedata r:id="rId17" o:title=""/>
          </v:shape>
        </w:pic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Расход топлива на ТЭЦ разделяют между выработанной электроэнергией и теплотой. Удельный расход условного топлива на выработку электроэнергии, кг/(кВт ч) [18],</w: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A7015F">
      <w:pPr>
        <w:spacing w:line="360" w:lineRule="auto"/>
        <w:jc w:val="center"/>
        <w:rPr>
          <w:sz w:val="28"/>
        </w:rPr>
      </w:pPr>
      <w:r>
        <w:rPr>
          <w:position w:val="-12"/>
          <w:sz w:val="28"/>
        </w:rPr>
        <w:pict>
          <v:shape id="_x0000_i1038" type="#_x0000_t75" style="width:63.75pt;height:18.75pt">
            <v:imagedata r:id="rId18" o:title=""/>
          </v:shape>
        </w:pict>
      </w:r>
      <w:r w:rsidR="007024D3">
        <w:rPr>
          <w:sz w:val="28"/>
        </w:rPr>
        <w:t xml:space="preserve">  (6.6)</w:t>
      </w:r>
    </w:p>
    <w:p w:rsidR="007024D3" w:rsidRDefault="007024D3">
      <w:pPr>
        <w:spacing w:line="360" w:lineRule="auto"/>
        <w:jc w:val="center"/>
        <w:rPr>
          <w:sz w:val="28"/>
        </w:rPr>
      </w:pPr>
    </w:p>
    <w:p w:rsidR="007024D3" w:rsidRDefault="00A7015F">
      <w:pPr>
        <w:spacing w:line="360" w:lineRule="auto"/>
        <w:jc w:val="center"/>
        <w:rPr>
          <w:sz w:val="28"/>
        </w:rPr>
      </w:pPr>
      <w:r>
        <w:rPr>
          <w:position w:val="-24"/>
          <w:sz w:val="28"/>
        </w:rPr>
        <w:pict>
          <v:shape id="_x0000_i1039" type="#_x0000_t75" style="width:156pt;height:30.75pt">
            <v:imagedata r:id="rId19" o:title=""/>
          </v:shape>
        </w:pict>
      </w:r>
    </w:p>
    <w:p w:rsidR="007024D3" w:rsidRDefault="007024D3">
      <w:pPr>
        <w:spacing w:line="360" w:lineRule="auto"/>
        <w:jc w:val="center"/>
        <w:rPr>
          <w:sz w:val="28"/>
        </w:rPr>
      </w:pPr>
    </w:p>
    <w:p w:rsidR="007024D3" w:rsidRDefault="007024D3">
      <w:pPr>
        <w:pStyle w:val="3"/>
        <w:spacing w:line="360" w:lineRule="auto"/>
      </w:pPr>
      <w:r>
        <w:tab/>
        <w:t>Удельный расход условного топлива на единицу теплоты для внешнего потребителя, кг/(кВт ч) или кг/ГДж</w:t>
      </w:r>
      <w:r>
        <w:rPr>
          <w:lang w:val="en-US"/>
        </w:rPr>
        <w:t>m</w:t>
      </w:r>
      <w:r>
        <w:t xml:space="preserve"> [18],</w:t>
      </w:r>
    </w:p>
    <w:p w:rsidR="007024D3" w:rsidRDefault="007024D3">
      <w:pPr>
        <w:pStyle w:val="3"/>
        <w:spacing w:line="360" w:lineRule="auto"/>
      </w:pPr>
    </w:p>
    <w:p w:rsidR="007024D3" w:rsidRDefault="00A7015F">
      <w:pPr>
        <w:pStyle w:val="3"/>
        <w:spacing w:line="360" w:lineRule="auto"/>
        <w:jc w:val="center"/>
      </w:pPr>
      <w:r>
        <w:rPr>
          <w:position w:val="-30"/>
        </w:rPr>
        <w:pict>
          <v:shape id="_x0000_i1040" type="#_x0000_t75" style="width:56.25pt;height:33.75pt">
            <v:imagedata r:id="rId20" o:title=""/>
          </v:shape>
        </w:pict>
      </w:r>
      <w:r w:rsidR="007024D3">
        <w:t xml:space="preserve"> или </w:t>
      </w:r>
      <w:r>
        <w:rPr>
          <w:position w:val="-30"/>
        </w:rPr>
        <w:pict>
          <v:shape id="_x0000_i1041" type="#_x0000_t75" style="width:50.25pt;height:33.75pt">
            <v:imagedata r:id="rId21" o:title=""/>
          </v:shape>
        </w:pict>
      </w:r>
      <w:r w:rsidR="007024D3">
        <w:t xml:space="preserve">  (6.7)</w:t>
      </w:r>
    </w:p>
    <w:p w:rsidR="007024D3" w:rsidRDefault="007024D3">
      <w:pPr>
        <w:pStyle w:val="3"/>
        <w:spacing w:line="360" w:lineRule="auto"/>
        <w:jc w:val="center"/>
      </w:pPr>
    </w:p>
    <w:p w:rsidR="007024D3" w:rsidRDefault="00A7015F">
      <w:pPr>
        <w:pStyle w:val="3"/>
        <w:spacing w:line="360" w:lineRule="auto"/>
        <w:jc w:val="center"/>
        <w:rPr>
          <w:lang w:val="en-US"/>
        </w:rPr>
      </w:pPr>
      <w:r>
        <w:rPr>
          <w:position w:val="-24"/>
        </w:rPr>
        <w:pict>
          <v:shape id="_x0000_i1042" type="#_x0000_t75" style="width:147pt;height:30.75pt">
            <v:imagedata r:id="rId22" o:title=""/>
          </v:shape>
        </w:pict>
      </w:r>
    </w:p>
    <w:p w:rsidR="007024D3" w:rsidRDefault="007024D3">
      <w:pPr>
        <w:pStyle w:val="3"/>
        <w:spacing w:line="360" w:lineRule="auto"/>
        <w:jc w:val="center"/>
        <w:rPr>
          <w:lang w:val="en-US"/>
        </w:rPr>
      </w:pPr>
    </w:p>
    <w:p w:rsidR="007024D3" w:rsidRDefault="007024D3">
      <w:pPr>
        <w:pStyle w:val="3"/>
        <w:spacing w:line="360" w:lineRule="auto"/>
      </w:pPr>
      <w:r>
        <w:rPr>
          <w:lang w:val="en-US"/>
        </w:rPr>
        <w:tab/>
      </w:r>
      <w:r>
        <w:t>Проведя технико-экономический расчет показателей ТЭЦ можно сделать следующие выводы: КПД по производству теплоты больше чем КПД по производству электроэнергии. Это связано с потерями при преобразовании тепловой энергии пара в электрическую, за счет вращение турбинных лопастей. Общий КПД ТЭЦ 41.2% - что является приемлемым для станций подобного уровня. Необходимо также учитывать, что вышеназванные параметры напрямую зависят от качества топлива, правильности его подготовки и режимов работы ТЭЦ. В среднем подобные данные остаются характерными для ТЭЦ, работающих на бурых углях.</w:t>
      </w:r>
    </w:p>
    <w:p w:rsidR="007024D3" w:rsidRDefault="007024D3">
      <w:pPr>
        <w:pStyle w:val="3"/>
        <w:spacing w:line="360" w:lineRule="auto"/>
      </w:pPr>
    </w:p>
    <w:p w:rsidR="007024D3" w:rsidRDefault="007024D3">
      <w:pPr>
        <w:pStyle w:val="3"/>
        <w:spacing w:line="360" w:lineRule="auto"/>
        <w:jc w:val="center"/>
      </w:pPr>
    </w:p>
    <w:p w:rsidR="007024D3" w:rsidRDefault="007024D3">
      <w:pPr>
        <w:pStyle w:val="3"/>
        <w:spacing w:line="360" w:lineRule="auto"/>
        <w:jc w:val="left"/>
        <w:sectPr w:rsidR="007024D3">
          <w:pgSz w:w="11906" w:h="16838"/>
          <w:pgMar w:top="1440" w:right="1800" w:bottom="1440" w:left="1800" w:header="720" w:footer="720" w:gutter="0"/>
          <w:cols w:space="720"/>
        </w:sectPr>
      </w:pPr>
    </w:p>
    <w:p w:rsidR="007024D3" w:rsidRDefault="007024D3">
      <w:p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 xml:space="preserve">7 – </w:t>
      </w:r>
      <w:r>
        <w:rPr>
          <w:b/>
          <w:bCs/>
          <w:sz w:val="28"/>
        </w:rPr>
        <w:t>Заключение</w:t>
      </w:r>
    </w:p>
    <w:p w:rsidR="007024D3" w:rsidRDefault="007024D3">
      <w:pPr>
        <w:widowControl w:val="0"/>
        <w:spacing w:line="360" w:lineRule="auto"/>
        <w:ind w:right="75" w:firstLine="851"/>
        <w:jc w:val="both"/>
        <w:rPr>
          <w:sz w:val="22"/>
        </w:rPr>
      </w:pPr>
    </w:p>
    <w:p w:rsidR="007024D3" w:rsidRDefault="007024D3">
      <w:pPr>
        <w:widowControl w:val="0"/>
        <w:spacing w:line="360" w:lineRule="auto"/>
        <w:ind w:right="75" w:firstLine="851"/>
        <w:jc w:val="both"/>
        <w:rPr>
          <w:b/>
          <w:sz w:val="28"/>
        </w:rPr>
      </w:pPr>
      <w:r>
        <w:rPr>
          <w:sz w:val="28"/>
        </w:rPr>
        <w:t>Положение в электроэнергетике региона и Дальнего востока в целом сегодня близко к кризисному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про</w:t>
      </w:r>
      <w:r>
        <w:rPr>
          <w:sz w:val="28"/>
        </w:rPr>
        <w:softHyphen/>
        <w:t>должается спад производства. Государственная политика формирования ры</w:t>
      </w:r>
      <w:r>
        <w:rPr>
          <w:sz w:val="28"/>
        </w:rPr>
        <w:softHyphen/>
        <w:t>ночных отношений в электроэнергетике Росси</w:t>
      </w:r>
      <w:bookmarkStart w:id="0" w:name="OCRUncertain038"/>
      <w:r>
        <w:rPr>
          <w:sz w:val="28"/>
        </w:rPr>
        <w:t>и</w:t>
      </w:r>
      <w:bookmarkEnd w:id="0"/>
      <w:r>
        <w:rPr>
          <w:sz w:val="28"/>
        </w:rPr>
        <w:t xml:space="preserve"> не учитывает свойств и осо</w:t>
      </w:r>
      <w:r>
        <w:rPr>
          <w:sz w:val="28"/>
        </w:rPr>
        <w:softHyphen/>
        <w:t>бенностей регионов и отраслей. Концепция</w:t>
      </w:r>
      <w:bookmarkStart w:id="1" w:name="OCRUncertain039"/>
      <w:r>
        <w:rPr>
          <w:noProof/>
          <w:sz w:val="28"/>
        </w:rPr>
        <w:t>,</w:t>
      </w:r>
      <w:bookmarkEnd w:id="1"/>
      <w:r>
        <w:rPr>
          <w:sz w:val="28"/>
        </w:rPr>
        <w:t xml:space="preserve"> как нужно строить рыночные отношения в области </w:t>
      </w:r>
      <w:bookmarkStart w:id="2" w:name="OCRUncertain040"/>
      <w:r>
        <w:rPr>
          <w:sz w:val="28"/>
        </w:rPr>
        <w:t xml:space="preserve">энергетики, </w:t>
      </w:r>
      <w:bookmarkEnd w:id="2"/>
      <w:r>
        <w:rPr>
          <w:b/>
          <w:sz w:val="28"/>
        </w:rPr>
        <w:t>ИМЕЕТСЯ</w:t>
      </w:r>
      <w:r>
        <w:rPr>
          <w:b/>
          <w:noProof/>
          <w:sz w:val="28"/>
        </w:rPr>
        <w:t xml:space="preserve"> </w:t>
      </w:r>
      <w:bookmarkStart w:id="3" w:name="OCRUncertain041"/>
      <w:r>
        <w:rPr>
          <w:b/>
          <w:noProof/>
          <w:sz w:val="28"/>
        </w:rPr>
        <w:t>,</w:t>
      </w:r>
      <w:bookmarkEnd w:id="3"/>
      <w:r>
        <w:rPr>
          <w:b/>
          <w:sz w:val="28"/>
        </w:rPr>
        <w:t xml:space="preserve"> НО ДЕТАЛЬНО </w:t>
      </w:r>
      <w:bookmarkStart w:id="4" w:name="OCRUncertain042"/>
      <w:r>
        <w:rPr>
          <w:b/>
          <w:sz w:val="28"/>
        </w:rPr>
        <w:t>ПРОРОБОТАННОЙ</w:t>
      </w:r>
      <w:bookmarkEnd w:id="4"/>
      <w:r>
        <w:rPr>
          <w:b/>
          <w:noProof/>
          <w:sz w:val="28"/>
        </w:rPr>
        <w:t xml:space="preserve"> </w:t>
      </w:r>
      <w:bookmarkStart w:id="5" w:name="OCRUncertain043"/>
      <w:r>
        <w:rPr>
          <w:b/>
          <w:noProof/>
          <w:sz w:val="28"/>
        </w:rPr>
        <w:t>,</w:t>
      </w:r>
      <w:bookmarkEnd w:id="5"/>
      <w:r>
        <w:rPr>
          <w:b/>
          <w:sz w:val="28"/>
        </w:rPr>
        <w:t xml:space="preserve"> ПОЛН</w:t>
      </w:r>
      <w:bookmarkStart w:id="6" w:name="OCRUncertain044"/>
      <w:r>
        <w:rPr>
          <w:b/>
          <w:sz w:val="28"/>
        </w:rPr>
        <w:t>О</w:t>
      </w:r>
      <w:bookmarkEnd w:id="6"/>
      <w:r>
        <w:rPr>
          <w:b/>
          <w:sz w:val="28"/>
        </w:rPr>
        <w:t>ЦЕННОЙ ПРОГРАММ</w:t>
      </w:r>
      <w:bookmarkStart w:id="7" w:name="OCRUncertain045"/>
      <w:r>
        <w:rPr>
          <w:b/>
          <w:sz w:val="28"/>
        </w:rPr>
        <w:t>Ы</w:t>
      </w:r>
      <w:bookmarkEnd w:id="7"/>
      <w:r>
        <w:rPr>
          <w:b/>
          <w:sz w:val="28"/>
        </w:rPr>
        <w:t xml:space="preserve"> ПЕРЕХОДА К </w:t>
      </w:r>
      <w:bookmarkStart w:id="8" w:name="OCRUncertain046"/>
      <w:r>
        <w:rPr>
          <w:b/>
          <w:sz w:val="28"/>
        </w:rPr>
        <w:t xml:space="preserve">РЫНК-У </w:t>
      </w:r>
      <w:bookmarkEnd w:id="8"/>
      <w:r>
        <w:rPr>
          <w:b/>
          <w:sz w:val="28"/>
        </w:rPr>
        <w:t>СЕГОДНЯ НЕТ.</w:t>
      </w:r>
    </w:p>
    <w:p w:rsidR="007024D3" w:rsidRDefault="007024D3">
      <w:pPr>
        <w:widowControl w:val="0"/>
        <w:spacing w:line="360" w:lineRule="auto"/>
        <w:ind w:right="75" w:firstLine="851"/>
        <w:jc w:val="both"/>
        <w:rPr>
          <w:sz w:val="28"/>
        </w:rPr>
      </w:pPr>
      <w:r>
        <w:rPr>
          <w:sz w:val="28"/>
        </w:rPr>
        <w:t>Одной из составляющих энергетической политики России и ее регионов дол</w:t>
      </w:r>
      <w:r>
        <w:rPr>
          <w:sz w:val="28"/>
        </w:rPr>
        <w:softHyphen/>
        <w:t xml:space="preserve">жно стать формирование нового механизма управления функционированием и развитием электроэнергетического комплекса. Это необходимо проводить в рамках осуществляемых в стране общих экономических реформ с учетом особенностей </w:t>
      </w:r>
      <w:bookmarkStart w:id="9" w:name="OCRUncertain047"/>
      <w:r>
        <w:rPr>
          <w:sz w:val="28"/>
        </w:rPr>
        <w:t>эл</w:t>
      </w:r>
      <w:bookmarkEnd w:id="9"/>
      <w:r>
        <w:rPr>
          <w:sz w:val="28"/>
        </w:rPr>
        <w:t>ектроэнергетического комплекса. Поскольку эти и другие необходимые основы рыночной экономики пока не сформированы, и это потребует длительного времени, то невозможность са</w:t>
      </w:r>
      <w:r>
        <w:rPr>
          <w:sz w:val="28"/>
        </w:rPr>
        <w:softHyphen/>
        <w:t>морегулирования на рыночных принципах должна быть компенсирована сильным государственным регулированием экономических процессов. Единственным известным на данный момент выходом из противоречия меж</w:t>
      </w:r>
      <w:r>
        <w:rPr>
          <w:sz w:val="28"/>
        </w:rPr>
        <w:softHyphen/>
        <w:t>ду целью (создание эффективной рыночной экономики) и объективной необ</w:t>
      </w:r>
      <w:r>
        <w:rPr>
          <w:sz w:val="28"/>
        </w:rPr>
        <w:softHyphen/>
        <w:t>ходимостью сохранения централизованного управления является создание двухсекторной экономики, в которой параллельно функционирует рыночный и государственно-управляемый секторы. Можно отметить, что сторонниками такого пути реформирования экономики являются такие известные эконо</w:t>
      </w:r>
      <w:r>
        <w:rPr>
          <w:sz w:val="28"/>
        </w:rPr>
        <w:softHyphen/>
        <w:t>мисты</w:t>
      </w:r>
      <w:r>
        <w:rPr>
          <w:noProof/>
          <w:sz w:val="28"/>
        </w:rPr>
        <w:t xml:space="preserve"> </w:t>
      </w:r>
      <w:bookmarkStart w:id="10" w:name="OCRUncertain048"/>
      <w:r>
        <w:rPr>
          <w:noProof/>
          <w:sz w:val="28"/>
        </w:rPr>
        <w:t>,</w:t>
      </w:r>
      <w:bookmarkEnd w:id="10"/>
      <w:r>
        <w:rPr>
          <w:sz w:val="28"/>
        </w:rPr>
        <w:t xml:space="preserve"> как Я. Корна</w:t>
      </w:r>
      <w:bookmarkStart w:id="11" w:name="OCRUncertain049"/>
      <w:r>
        <w:rPr>
          <w:sz w:val="28"/>
        </w:rPr>
        <w:t>й</w:t>
      </w:r>
      <w:bookmarkEnd w:id="11"/>
      <w:r>
        <w:rPr>
          <w:noProof/>
          <w:sz w:val="28"/>
        </w:rPr>
        <w:t xml:space="preserve"> </w:t>
      </w:r>
      <w:bookmarkStart w:id="12" w:name="OCRUncertain050"/>
      <w:r>
        <w:rPr>
          <w:noProof/>
          <w:sz w:val="28"/>
        </w:rPr>
        <w:t>,</w:t>
      </w:r>
      <w:bookmarkEnd w:id="12"/>
      <w:r>
        <w:rPr>
          <w:sz w:val="28"/>
        </w:rPr>
        <w:t xml:space="preserve"> </w:t>
      </w:r>
      <w:bookmarkStart w:id="13" w:name="OCRUncertain051"/>
      <w:r>
        <w:rPr>
          <w:sz w:val="28"/>
        </w:rPr>
        <w:t>П.</w:t>
      </w:r>
      <w:bookmarkEnd w:id="13"/>
      <w:r>
        <w:rPr>
          <w:sz w:val="28"/>
        </w:rPr>
        <w:t xml:space="preserve"> </w:t>
      </w:r>
      <w:bookmarkStart w:id="14" w:name="OCRUncertain052"/>
      <w:r>
        <w:rPr>
          <w:sz w:val="28"/>
        </w:rPr>
        <w:t>Мюрелл</w:t>
      </w:r>
      <w:bookmarkEnd w:id="14"/>
      <w:r>
        <w:rPr>
          <w:noProof/>
          <w:sz w:val="28"/>
        </w:rPr>
        <w:t xml:space="preserve"> </w:t>
      </w:r>
      <w:bookmarkStart w:id="15" w:name="OCRUncertain053"/>
      <w:r>
        <w:rPr>
          <w:noProof/>
          <w:sz w:val="28"/>
        </w:rPr>
        <w:t>,</w:t>
      </w:r>
      <w:bookmarkEnd w:id="15"/>
      <w:r>
        <w:rPr>
          <w:sz w:val="28"/>
        </w:rPr>
        <w:t xml:space="preserve"> </w:t>
      </w:r>
      <w:bookmarkStart w:id="16" w:name="OCRUncertain054"/>
      <w:r>
        <w:rPr>
          <w:sz w:val="28"/>
        </w:rPr>
        <w:t>Р.</w:t>
      </w:r>
      <w:bookmarkEnd w:id="16"/>
      <w:r>
        <w:rPr>
          <w:sz w:val="28"/>
        </w:rPr>
        <w:t xml:space="preserve"> </w:t>
      </w:r>
      <w:bookmarkStart w:id="17" w:name="OCRUncertain055"/>
      <w:r>
        <w:rPr>
          <w:sz w:val="28"/>
        </w:rPr>
        <w:t>Макконен</w:t>
      </w:r>
      <w:bookmarkEnd w:id="17"/>
      <w:r>
        <w:rPr>
          <w:noProof/>
          <w:sz w:val="28"/>
        </w:rPr>
        <w:t xml:space="preserve"> </w:t>
      </w:r>
      <w:bookmarkStart w:id="18" w:name="OCRUncertain056"/>
      <w:r>
        <w:rPr>
          <w:noProof/>
          <w:sz w:val="28"/>
        </w:rPr>
        <w:t>,</w:t>
      </w:r>
      <w:bookmarkEnd w:id="18"/>
      <w:r>
        <w:rPr>
          <w:sz w:val="28"/>
        </w:rPr>
        <w:t xml:space="preserve"> В. </w:t>
      </w:r>
      <w:bookmarkStart w:id="19" w:name="OCRUncertain057"/>
      <w:r>
        <w:rPr>
          <w:sz w:val="28"/>
        </w:rPr>
        <w:t>Белкин</w:t>
      </w:r>
      <w:bookmarkEnd w:id="19"/>
      <w:r>
        <w:rPr>
          <w:noProof/>
          <w:sz w:val="28"/>
        </w:rPr>
        <w:t xml:space="preserve"> </w:t>
      </w:r>
      <w:bookmarkStart w:id="20" w:name="OCRUncertain058"/>
      <w:r>
        <w:rPr>
          <w:noProof/>
          <w:sz w:val="28"/>
        </w:rPr>
        <w:t>,</w:t>
      </w:r>
      <w:bookmarkEnd w:id="20"/>
      <w:r>
        <w:rPr>
          <w:sz w:val="28"/>
        </w:rPr>
        <w:t xml:space="preserve"> Г. </w:t>
      </w:r>
      <w:bookmarkStart w:id="21" w:name="OCRUncertain059"/>
      <w:r>
        <w:rPr>
          <w:sz w:val="28"/>
        </w:rPr>
        <w:t>Ханин</w:t>
      </w:r>
      <w:bookmarkEnd w:id="21"/>
      <w:r>
        <w:rPr>
          <w:noProof/>
          <w:sz w:val="28"/>
        </w:rPr>
        <w:t xml:space="preserve"> -</w:t>
      </w:r>
      <w:r>
        <w:rPr>
          <w:sz w:val="28"/>
        </w:rPr>
        <w:t xml:space="preserve"> ак</w:t>
      </w:r>
      <w:r>
        <w:rPr>
          <w:sz w:val="28"/>
        </w:rPr>
        <w:softHyphen/>
        <w:t>тивные приверженцы рыночной экономики и хорошо понимающие огромные проблемы в параллельном существовании частного и государственного сек</w:t>
      </w:r>
      <w:r>
        <w:rPr>
          <w:sz w:val="28"/>
        </w:rPr>
        <w:softHyphen/>
        <w:t>торов.</w:t>
      </w:r>
    </w:p>
    <w:p w:rsidR="007024D3" w:rsidRDefault="007024D3">
      <w:pPr>
        <w:widowControl w:val="0"/>
        <w:spacing w:line="360" w:lineRule="auto"/>
        <w:ind w:right="75" w:firstLine="851"/>
        <w:jc w:val="both"/>
        <w:rPr>
          <w:sz w:val="28"/>
        </w:rPr>
      </w:pPr>
      <w:r>
        <w:rPr>
          <w:sz w:val="28"/>
        </w:rPr>
        <w:t>Рыночный сектор  должен формироваться, прежде всего, в отраслях, близких к к</w:t>
      </w:r>
      <w:bookmarkStart w:id="22" w:name="OCRUncertain060"/>
      <w:r>
        <w:rPr>
          <w:sz w:val="28"/>
        </w:rPr>
        <w:t>онечной</w:t>
      </w:r>
      <w:bookmarkEnd w:id="22"/>
      <w:r>
        <w:rPr>
          <w:sz w:val="28"/>
        </w:rPr>
        <w:t xml:space="preserve"> продукции (торговля, легкая и пищевая промышленнос</w:t>
      </w:r>
      <w:r>
        <w:rPr>
          <w:sz w:val="28"/>
        </w:rPr>
        <w:softHyphen/>
        <w:t>ти, сельское хозяйство, строительство), а также, по мере готовности, и в других производствах, где отсутствует</w:t>
      </w:r>
      <w:r>
        <w:rPr>
          <w:noProof/>
          <w:sz w:val="28"/>
        </w:rPr>
        <w:t xml:space="preserve"> </w:t>
      </w:r>
      <w:bookmarkStart w:id="23" w:name="OCRUncertain061"/>
      <w:r>
        <w:rPr>
          <w:noProof/>
          <w:sz w:val="28"/>
        </w:rPr>
        <w:t>(</w:t>
      </w:r>
      <w:bookmarkEnd w:id="23"/>
      <w:r>
        <w:rPr>
          <w:sz w:val="28"/>
        </w:rPr>
        <w:t>или относительно легко может быть разрушен) монополизм и сбои в работе которых не ведут к большим ущер</w:t>
      </w:r>
      <w:r>
        <w:rPr>
          <w:sz w:val="28"/>
        </w:rPr>
        <w:softHyphen/>
        <w:t>бам и к дестабилизации экономики.</w:t>
      </w:r>
    </w:p>
    <w:p w:rsidR="007024D3" w:rsidRDefault="007024D3">
      <w:pPr>
        <w:widowControl w:val="0"/>
        <w:spacing w:line="360" w:lineRule="auto"/>
        <w:ind w:right="75" w:firstLine="851"/>
        <w:jc w:val="both"/>
        <w:rPr>
          <w:noProof/>
          <w:sz w:val="28"/>
        </w:rPr>
      </w:pPr>
      <w:bookmarkStart w:id="24" w:name="OCRUncertain062"/>
      <w:r>
        <w:rPr>
          <w:sz w:val="28"/>
        </w:rPr>
        <w:t>Электроэнергетика</w:t>
      </w:r>
      <w:bookmarkEnd w:id="24"/>
      <w:r>
        <w:rPr>
          <w:sz w:val="28"/>
        </w:rPr>
        <w:t xml:space="preserve"> обладает рядом особенностей, обусловливающих необ</w:t>
      </w:r>
      <w:r>
        <w:rPr>
          <w:sz w:val="28"/>
        </w:rPr>
        <w:softHyphen/>
        <w:t>ходимость сохранения в ближайшей перспективе необходимость сохранения преимущественно государственного управления его функционированием и развитием. К ним относятся</w:t>
      </w:r>
      <w:r>
        <w:rPr>
          <w:noProof/>
          <w:sz w:val="28"/>
        </w:rPr>
        <w:t xml:space="preserve"> </w:t>
      </w:r>
      <w:bookmarkStart w:id="25" w:name="OCRUncertain063"/>
      <w:r>
        <w:rPr>
          <w:noProof/>
          <w:sz w:val="28"/>
        </w:rPr>
        <w:t>:</w:t>
      </w:r>
      <w:bookmarkEnd w:id="25"/>
    </w:p>
    <w:p w:rsidR="007024D3" w:rsidRDefault="007024D3">
      <w:pPr>
        <w:widowControl w:val="0"/>
        <w:numPr>
          <w:ilvl w:val="0"/>
          <w:numId w:val="4"/>
        </w:numPr>
        <w:spacing w:line="360" w:lineRule="auto"/>
        <w:ind w:right="75"/>
        <w:jc w:val="both"/>
        <w:rPr>
          <w:sz w:val="28"/>
        </w:rPr>
      </w:pPr>
      <w:r>
        <w:rPr>
          <w:sz w:val="28"/>
        </w:rPr>
        <w:t>особая важность для населения и всей экономики обеспечения надежного энергоснабжения;</w:t>
      </w:r>
    </w:p>
    <w:p w:rsidR="007024D3" w:rsidRDefault="007024D3">
      <w:pPr>
        <w:widowControl w:val="0"/>
        <w:numPr>
          <w:ilvl w:val="0"/>
          <w:numId w:val="4"/>
        </w:numPr>
        <w:spacing w:line="360" w:lineRule="auto"/>
        <w:ind w:right="75"/>
        <w:jc w:val="both"/>
        <w:rPr>
          <w:sz w:val="28"/>
        </w:rPr>
      </w:pPr>
      <w:r>
        <w:rPr>
          <w:sz w:val="28"/>
        </w:rPr>
        <w:t>высокая капиталоемкость и сильная инерционность развития электроэнергетики;</w:t>
      </w:r>
    </w:p>
    <w:p w:rsidR="007024D3" w:rsidRDefault="007024D3">
      <w:pPr>
        <w:widowControl w:val="0"/>
        <w:numPr>
          <w:ilvl w:val="0"/>
          <w:numId w:val="4"/>
        </w:numPr>
        <w:spacing w:line="360" w:lineRule="auto"/>
        <w:ind w:right="75"/>
        <w:jc w:val="both"/>
        <w:rPr>
          <w:sz w:val="28"/>
        </w:rPr>
      </w:pPr>
      <w:r>
        <w:rPr>
          <w:sz w:val="28"/>
        </w:rPr>
        <w:t>монопольное положение отдельных предприятий и систем по технологи</w:t>
      </w:r>
      <w:r>
        <w:rPr>
          <w:sz w:val="28"/>
        </w:rPr>
        <w:softHyphen/>
        <w:t xml:space="preserve">ческим условиям, а также вследствие сложившейся в нашей стране высокой концентрации мощностей </w:t>
      </w:r>
      <w:bookmarkStart w:id="26" w:name="OCRUncertain064"/>
      <w:r>
        <w:rPr>
          <w:sz w:val="28"/>
        </w:rPr>
        <w:t>электроэнергетики</w:t>
      </w:r>
      <w:bookmarkEnd w:id="26"/>
      <w:r>
        <w:rPr>
          <w:sz w:val="28"/>
        </w:rPr>
        <w:t>;</w:t>
      </w:r>
    </w:p>
    <w:p w:rsidR="007024D3" w:rsidRDefault="007024D3">
      <w:pPr>
        <w:widowControl w:val="0"/>
        <w:numPr>
          <w:ilvl w:val="0"/>
          <w:numId w:val="4"/>
        </w:numPr>
        <w:spacing w:line="360" w:lineRule="auto"/>
        <w:ind w:right="75"/>
        <w:jc w:val="both"/>
        <w:rPr>
          <w:sz w:val="28"/>
        </w:rPr>
      </w:pPr>
      <w:r>
        <w:rPr>
          <w:sz w:val="28"/>
        </w:rPr>
        <w:t>отсутствие необходимых для рыночной экономики резервов в  п</w:t>
      </w:r>
      <w:bookmarkStart w:id="27" w:name="OCRUncertain065"/>
      <w:r>
        <w:rPr>
          <w:sz w:val="28"/>
        </w:rPr>
        <w:t xml:space="preserve">роизводстве </w:t>
      </w:r>
      <w:bookmarkEnd w:id="27"/>
      <w:r>
        <w:rPr>
          <w:sz w:val="28"/>
        </w:rPr>
        <w:t>и транспорте энергоресурсов:</w:t>
      </w:r>
    </w:p>
    <w:p w:rsidR="007024D3" w:rsidRDefault="007024D3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высокий уровень опасности объектов электроэнергетики для населения и природы.</w:t>
      </w:r>
    </w:p>
    <w:p w:rsidR="007024D3" w:rsidRDefault="007024D3">
      <w:p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>Только учтя вышеперечисленные особенности электроэнергетики можно подходить к решению политических, экономических и социальных проблем и постановке целей в будущем планировании.</w:t>
      </w:r>
    </w:p>
    <w:p w:rsidR="007024D3" w:rsidRDefault="007024D3">
      <w:pPr>
        <w:spacing w:line="360" w:lineRule="auto"/>
        <w:jc w:val="both"/>
        <w:rPr>
          <w:b/>
          <w:bCs/>
          <w:sz w:val="28"/>
        </w:rPr>
      </w:pPr>
    </w:p>
    <w:p w:rsidR="007024D3" w:rsidRDefault="007024D3">
      <w:pPr>
        <w:spacing w:line="360" w:lineRule="auto"/>
        <w:jc w:val="both"/>
        <w:rPr>
          <w:b/>
          <w:bCs/>
          <w:sz w:val="28"/>
        </w:rPr>
      </w:pPr>
    </w:p>
    <w:p w:rsidR="007024D3" w:rsidRDefault="007024D3">
      <w:pPr>
        <w:spacing w:line="360" w:lineRule="auto"/>
        <w:jc w:val="both"/>
        <w:rPr>
          <w:b/>
          <w:bCs/>
          <w:sz w:val="28"/>
        </w:rPr>
      </w:pPr>
    </w:p>
    <w:p w:rsidR="007024D3" w:rsidRDefault="007024D3">
      <w:pPr>
        <w:spacing w:line="360" w:lineRule="auto"/>
        <w:jc w:val="both"/>
        <w:rPr>
          <w:b/>
          <w:bCs/>
          <w:sz w:val="28"/>
        </w:rPr>
        <w:sectPr w:rsidR="007024D3">
          <w:pgSz w:w="11906" w:h="16838"/>
          <w:pgMar w:top="1440" w:right="1800" w:bottom="1440" w:left="1800" w:header="720" w:footer="720" w:gutter="0"/>
          <w:cols w:space="720"/>
        </w:sectPr>
      </w:pPr>
    </w:p>
    <w:p w:rsidR="007024D3" w:rsidRDefault="007024D3">
      <w:p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 xml:space="preserve">8 – </w:t>
      </w:r>
      <w:r>
        <w:rPr>
          <w:b/>
          <w:bCs/>
          <w:sz w:val="28"/>
        </w:rPr>
        <w:t>Использованная литература:</w:t>
      </w:r>
    </w:p>
    <w:p w:rsidR="007024D3" w:rsidRDefault="007024D3">
      <w:pPr>
        <w:spacing w:line="360" w:lineRule="auto"/>
        <w:jc w:val="both"/>
        <w:rPr>
          <w:sz w:val="28"/>
        </w:rPr>
      </w:pP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Энергетика сегодня и завтра. под ред. Дъякова.- М.: Энергия, 1990.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Баскаков А.П. Теплотехника.- М.: Энергоатомиздат, 1991.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Рыжкин В.Я. Тепловые электрические станции. - М.: Энергоатомиздат,  1987.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Теплотехнический справочник в 2х томах, под ред. В.Н. Юренева и др. – М.: Энергия, 1967.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Немцев З.Ф., Ареньев Г.В. Теплотехнические установки и теплоснабжение.- М.: Энергоатомиздат, 1986.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Теплоэнергетика и теплофизика. под ред. Григорьева.- М.: Энергия, 1980.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Расчет тепловой схемы ТЭС: Указания к курсовому проэкту, О.В.Распутин.- В.: ДВПИ, 1990.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Рыжкин В.Я. Тепловые Электрические Станции. - М.: Энергоатомиздат, 1987.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Физико-технические аспекты процессов горения и газификации твердого топлива. ред. колл.: Козлова С.Г. и др. - М.: ЭНИН, 1987.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Экономия топлива на эл. ст. и в энергосистемах: Сборник статей. А.С. Горшкова. - М.: Энергия, 1967.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Мезенцев А.П. Основы расчета мероприятий по экономии тепловой энергии и топлива. М.: Энергия, 1970.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Левин Е.М., Гохштейн Г.П., Верхивер Г.П. Тепловые схемы и оборудование энергоблоков. - М.: Энергия, 1972.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Вопросы повышения КПД паротурбинных электростанций. - М-Л.: Госэнергкомиздат, 1960.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Потехонов В.Л. Тепловые Электрические Станции. М.: Энергия, 1977.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Бачаров И.Д. Турбоустановки Владивостокской ТЭЦ2: уч. пособие. - В: ДВГТУ, 1995.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Энергетическое топливо СССР: Справочник., под ред. Т.А. Зикеева. - М.: Энергия, 1972.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Михайлов Н.М., Шарков Т.А., Физические свойства топлива.- М.: Энергия, 1972.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Угрюмова С.Д. Теплотехника. - В: ДВГАЭУ, 1999. 296 с. 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Концепция энергетической политики России в новых экономических условиях. - М</w:t>
      </w:r>
      <w:bookmarkStart w:id="28" w:name="OCRUncertain022"/>
      <w:r>
        <w:rPr>
          <w:sz w:val="28"/>
        </w:rPr>
        <w:t>.</w:t>
      </w:r>
      <w:bookmarkEnd w:id="28"/>
      <w:r>
        <w:rPr>
          <w:sz w:val="28"/>
        </w:rPr>
        <w:t>: Минтопэнерго</w:t>
      </w:r>
      <w:bookmarkStart w:id="29" w:name="OCRUncertain023"/>
      <w:r>
        <w:rPr>
          <w:sz w:val="28"/>
        </w:rPr>
        <w:t>,</w:t>
      </w:r>
      <w:bookmarkEnd w:id="29"/>
      <w:r>
        <w:rPr>
          <w:noProof/>
          <w:sz w:val="28"/>
        </w:rPr>
        <w:t xml:space="preserve"> 1992. 68</w:t>
      </w:r>
      <w:r>
        <w:rPr>
          <w:sz w:val="28"/>
        </w:rPr>
        <w:t xml:space="preserve"> с.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bookmarkStart w:id="30" w:name="OCRUncertain025"/>
      <w:r>
        <w:rPr>
          <w:sz w:val="28"/>
        </w:rPr>
        <w:t>Э.</w:t>
      </w:r>
      <w:bookmarkEnd w:id="30"/>
      <w:r>
        <w:rPr>
          <w:sz w:val="28"/>
        </w:rPr>
        <w:t xml:space="preserve"> Г. </w:t>
      </w:r>
      <w:bookmarkStart w:id="31" w:name="OCRUncertain026"/>
      <w:r>
        <w:rPr>
          <w:sz w:val="28"/>
        </w:rPr>
        <w:t>Вязьмин</w:t>
      </w:r>
      <w:bookmarkEnd w:id="31"/>
      <w:r>
        <w:rPr>
          <w:sz w:val="28"/>
        </w:rPr>
        <w:t xml:space="preserve"> и др. Основные направления теплоснабжающих систем Сибири на перспективу до</w:t>
      </w:r>
      <w:r>
        <w:rPr>
          <w:noProof/>
          <w:sz w:val="28"/>
        </w:rPr>
        <w:t xml:space="preserve"> 2010</w:t>
      </w:r>
      <w:r>
        <w:rPr>
          <w:sz w:val="28"/>
        </w:rPr>
        <w:t xml:space="preserve"> г</w:t>
      </w:r>
      <w:bookmarkStart w:id="32" w:name="OCRUncertain027"/>
      <w:r>
        <w:rPr>
          <w:sz w:val="28"/>
        </w:rPr>
        <w:t>.//</w:t>
      </w:r>
      <w:bookmarkEnd w:id="32"/>
      <w:r>
        <w:rPr>
          <w:sz w:val="28"/>
        </w:rPr>
        <w:t xml:space="preserve"> Направления развития энергетики Сибири.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Иркутск,</w:t>
      </w:r>
      <w:r>
        <w:rPr>
          <w:noProof/>
          <w:sz w:val="28"/>
        </w:rPr>
        <w:t xml:space="preserve"> 1990. 82-93 с.</w:t>
      </w:r>
    </w:p>
    <w:p w:rsidR="007024D3" w:rsidRDefault="007024D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Меренков А. П. и др. Проблемы преобразования теплового хозяйства России</w:t>
      </w:r>
      <w:r>
        <w:rPr>
          <w:noProof/>
          <w:sz w:val="28"/>
        </w:rPr>
        <w:t xml:space="preserve"> </w:t>
      </w:r>
      <w:bookmarkStart w:id="33" w:name="OCRUncertain033"/>
      <w:r>
        <w:rPr>
          <w:noProof/>
          <w:sz w:val="28"/>
        </w:rPr>
        <w:t>//</w:t>
      </w:r>
      <w:bookmarkEnd w:id="33"/>
      <w:r>
        <w:rPr>
          <w:sz w:val="28"/>
        </w:rPr>
        <w:t xml:space="preserve"> Изд.: РАН. Энергетика,</w:t>
      </w:r>
      <w:r>
        <w:rPr>
          <w:noProof/>
          <w:sz w:val="28"/>
        </w:rPr>
        <w:t xml:space="preserve"> 1992.</w:t>
      </w:r>
      <w:bookmarkStart w:id="34" w:name="_GoBack"/>
      <w:bookmarkEnd w:id="34"/>
    </w:p>
    <w:sectPr w:rsidR="007024D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E68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B403E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5D549D2"/>
    <w:multiLevelType w:val="hybridMultilevel"/>
    <w:tmpl w:val="DE0E498A"/>
    <w:lvl w:ilvl="0" w:tplc="1414BD1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67866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D2C5375"/>
    <w:multiLevelType w:val="singleLevel"/>
    <w:tmpl w:val="0F06B1B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F53"/>
    <w:rsid w:val="00573A09"/>
    <w:rsid w:val="007024D3"/>
    <w:rsid w:val="00A7015F"/>
    <w:rsid w:val="00BB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9"/>
    <o:shapelayout v:ext="edit">
      <o:idmap v:ext="edit" data="1"/>
    </o:shapelayout>
  </w:shapeDefaults>
  <w:decimalSymbol w:val=","/>
  <w:listSeparator w:val=";"/>
  <w15:chartTrackingRefBased/>
  <w15:docId w15:val="{74E062CD-5D4A-4147-8E3D-45228830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Body Text Indent"/>
    <w:basedOn w:val="a"/>
    <w:semiHidden/>
    <w:pPr>
      <w:ind w:firstLine="709"/>
    </w:pPr>
    <w:rPr>
      <w:sz w:val="24"/>
    </w:rPr>
  </w:style>
  <w:style w:type="paragraph" w:styleId="20">
    <w:name w:val="Body Text 2"/>
    <w:basedOn w:val="a"/>
    <w:semiHidden/>
    <w:rPr>
      <w:sz w:val="28"/>
    </w:rPr>
  </w:style>
  <w:style w:type="paragraph" w:styleId="a5">
    <w:name w:val="Normal (Web)"/>
    <w:basedOn w:val="a"/>
    <w:semiHidden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semiHidden/>
    <w:pPr>
      <w:jc w:val="both"/>
    </w:pPr>
    <w:rPr>
      <w:sz w:val="28"/>
    </w:rPr>
  </w:style>
  <w:style w:type="paragraph" w:styleId="21">
    <w:name w:val="Body Text Indent 2"/>
    <w:basedOn w:val="a"/>
    <w:semiHidden/>
    <w:pPr>
      <w:spacing w:line="360" w:lineRule="auto"/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23" Type="http://schemas.openxmlformats.org/officeDocument/2006/relationships/fontTable" Target="fontTable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5520</Words>
  <Characters>31467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План:</vt:lpstr>
    </vt:vector>
  </TitlesOfParts>
  <Company> </Company>
  <LinksUpToDate>false</LinksUpToDate>
  <CharactersWithSpaces>36914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План:</dc:title>
  <dc:subject/>
  <dc:creator>user</dc:creator>
  <cp:keywords/>
  <cp:lastModifiedBy>admin</cp:lastModifiedBy>
  <cp:revision>2</cp:revision>
  <cp:lastPrinted>2001-05-17T07:38:00Z</cp:lastPrinted>
  <dcterms:created xsi:type="dcterms:W3CDTF">2014-02-10T10:06:00Z</dcterms:created>
  <dcterms:modified xsi:type="dcterms:W3CDTF">2014-02-10T10:06:00Z</dcterms:modified>
</cp:coreProperties>
</file>