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D8" w:rsidRPr="000C48CF" w:rsidRDefault="00422384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Київський Національний Економічний Університет</w:t>
      </w: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імені Вадима Гетьмана</w:t>
      </w: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EF68D8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  <w:lang w:val="en-US"/>
        </w:rPr>
      </w:pPr>
    </w:p>
    <w:p w:rsidR="00422384" w:rsidRDefault="00422384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  <w:lang w:val="en-US"/>
        </w:rPr>
      </w:pPr>
    </w:p>
    <w:p w:rsidR="00422384" w:rsidRPr="00422384" w:rsidRDefault="00422384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  <w:lang w:val="en-US"/>
        </w:rPr>
      </w:pPr>
    </w:p>
    <w:p w:rsidR="00EF68D8" w:rsidRPr="000C48CF" w:rsidRDefault="00C40364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72"/>
        </w:rPr>
      </w:pPr>
      <w:r>
        <w:rPr>
          <w:rFonts w:ascii="Times New Roman" w:hAnsi="Times New Roman"/>
          <w:sz w:val="28"/>
          <w:szCs w:val="72"/>
        </w:rPr>
        <w:t>Л</w:t>
      </w:r>
      <w:r w:rsidR="00EF68D8" w:rsidRPr="000C48CF">
        <w:rPr>
          <w:rFonts w:ascii="Times New Roman" w:hAnsi="Times New Roman"/>
          <w:sz w:val="28"/>
          <w:szCs w:val="72"/>
        </w:rPr>
        <w:t>екція</w:t>
      </w: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на тему:</w:t>
      </w:r>
      <w:r w:rsidR="000C48CF" w:rsidRPr="000C48CF">
        <w:rPr>
          <w:rFonts w:ascii="Times New Roman" w:hAnsi="Times New Roman"/>
          <w:sz w:val="28"/>
          <w:szCs w:val="28"/>
        </w:rPr>
        <w:t>"</w:t>
      </w:r>
      <w:r w:rsidRPr="000C48CF">
        <w:rPr>
          <w:rFonts w:ascii="Times New Roman" w:hAnsi="Times New Roman"/>
          <w:sz w:val="28"/>
          <w:szCs w:val="28"/>
        </w:rPr>
        <w:t>Порівняльна характеристика бюджетного устрою дв</w:t>
      </w:r>
      <w:r w:rsidR="00422384">
        <w:rPr>
          <w:rFonts w:ascii="Times New Roman" w:hAnsi="Times New Roman"/>
          <w:sz w:val="28"/>
          <w:szCs w:val="28"/>
        </w:rPr>
        <w:t>ох держав: Україна та Німеччина</w:t>
      </w:r>
      <w:r w:rsidR="000C48CF" w:rsidRPr="000C48CF">
        <w:rPr>
          <w:rFonts w:ascii="Times New Roman" w:hAnsi="Times New Roman"/>
          <w:sz w:val="28"/>
          <w:szCs w:val="28"/>
        </w:rPr>
        <w:t>"</w:t>
      </w: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Підготувала:</w:t>
      </w:r>
    </w:p>
    <w:p w:rsidR="00EF68D8" w:rsidRPr="000C48CF" w:rsidRDefault="00EF68D8" w:rsidP="00422384">
      <w:pPr>
        <w:suppressAutoHyphens/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Білецька Ольга Ігорівна,</w:t>
      </w:r>
    </w:p>
    <w:p w:rsidR="00EF68D8" w:rsidRPr="000C48CF" w:rsidRDefault="00EF68D8" w:rsidP="00422384">
      <w:pPr>
        <w:suppressAutoHyphens/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студентка І</w:t>
      </w:r>
      <w:r w:rsidRPr="000C48CF">
        <w:rPr>
          <w:rFonts w:ascii="Times New Roman" w:hAnsi="Times New Roman"/>
          <w:sz w:val="28"/>
          <w:szCs w:val="28"/>
          <w:lang w:val="en-US"/>
        </w:rPr>
        <w:t>V</w:t>
      </w:r>
      <w:r w:rsidRPr="000C48CF">
        <w:rPr>
          <w:rFonts w:ascii="Times New Roman" w:hAnsi="Times New Roman"/>
          <w:sz w:val="28"/>
          <w:szCs w:val="28"/>
        </w:rPr>
        <w:t xml:space="preserve"> курсу, ФЕФ,</w:t>
      </w:r>
    </w:p>
    <w:p w:rsidR="00EF68D8" w:rsidRPr="000C48CF" w:rsidRDefault="00EF68D8" w:rsidP="00422384">
      <w:pPr>
        <w:suppressAutoHyphens/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спец. 6508, 17 група</w:t>
      </w: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68D8" w:rsidRPr="000C48CF" w:rsidRDefault="00EF68D8" w:rsidP="0042238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Київ – 2010</w:t>
      </w:r>
    </w:p>
    <w:p w:rsidR="00DA0172" w:rsidRPr="000C48CF" w:rsidRDefault="00CE7C5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br w:type="page"/>
        <w:t>Зміст</w:t>
      </w:r>
    </w:p>
    <w:p w:rsidR="00422384" w:rsidRDefault="00422384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CE7C53" w:rsidRPr="000C48CF" w:rsidRDefault="00CE7C53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0C48CF">
        <w:rPr>
          <w:rFonts w:ascii="Times New Roman" w:hAnsi="Times New Roman"/>
          <w:sz w:val="28"/>
          <w:szCs w:val="28"/>
        </w:rPr>
        <w:t>Вступ</w:t>
      </w:r>
    </w:p>
    <w:p w:rsidR="00CE7C53" w:rsidRPr="000C48CF" w:rsidRDefault="00422384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22384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E3144" w:rsidRPr="000C48CF">
        <w:rPr>
          <w:rFonts w:ascii="Times New Roman" w:hAnsi="Times New Roman"/>
          <w:sz w:val="28"/>
          <w:szCs w:val="28"/>
        </w:rPr>
        <w:t>Бюджетна система</w:t>
      </w:r>
    </w:p>
    <w:p w:rsidR="00BE3144" w:rsidRPr="000C48CF" w:rsidRDefault="00422384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22384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BE3144" w:rsidRPr="000C48CF">
        <w:rPr>
          <w:rFonts w:ascii="Times New Roman" w:hAnsi="Times New Roman"/>
          <w:sz w:val="28"/>
          <w:szCs w:val="28"/>
        </w:rPr>
        <w:t>Міжбюджетні відносини</w:t>
      </w:r>
    </w:p>
    <w:p w:rsidR="00BE3144" w:rsidRPr="000C48CF" w:rsidRDefault="00422384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 w:rsidR="00BE3144" w:rsidRPr="000C48CF">
        <w:rPr>
          <w:rFonts w:ascii="Times New Roman" w:hAnsi="Times New Roman"/>
          <w:sz w:val="28"/>
          <w:szCs w:val="28"/>
        </w:rPr>
        <w:t>Доходи та видатки бюджету</w:t>
      </w:r>
    </w:p>
    <w:p w:rsidR="00CE7C53" w:rsidRPr="000C48CF" w:rsidRDefault="00CE7C53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Висновки</w:t>
      </w:r>
    </w:p>
    <w:p w:rsidR="00CE7C53" w:rsidRPr="000C48CF" w:rsidRDefault="00CE7C53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Додатки</w:t>
      </w:r>
    </w:p>
    <w:p w:rsidR="00CE7C53" w:rsidRPr="00422384" w:rsidRDefault="00CE7C53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0C48CF">
        <w:rPr>
          <w:rFonts w:ascii="Times New Roman" w:hAnsi="Times New Roman"/>
          <w:sz w:val="28"/>
          <w:szCs w:val="28"/>
        </w:rPr>
        <w:t>Список використаної літератури</w:t>
      </w:r>
    </w:p>
    <w:p w:rsidR="00422384" w:rsidRPr="00422384" w:rsidRDefault="00422384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E7C53" w:rsidRPr="000C48CF" w:rsidRDefault="00CE7C5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br w:type="page"/>
        <w:t>Вступ</w:t>
      </w:r>
    </w:p>
    <w:p w:rsidR="00422384" w:rsidRDefault="00422384" w:rsidP="000C48CF">
      <w:pPr>
        <w:pStyle w:val="a3"/>
        <w:suppressAutoHyphens/>
        <w:spacing w:line="360" w:lineRule="auto"/>
        <w:ind w:firstLine="709"/>
        <w:jc w:val="both"/>
        <w:rPr>
          <w:rStyle w:val="a4"/>
          <w:b w:val="0"/>
          <w:color w:val="auto"/>
          <w:sz w:val="28"/>
          <w:szCs w:val="28"/>
          <w:lang w:val="en-US"/>
        </w:rPr>
      </w:pPr>
    </w:p>
    <w:p w:rsidR="00CE7C53" w:rsidRPr="000C48CF" w:rsidRDefault="00CE7C53" w:rsidP="000C48CF">
      <w:pPr>
        <w:pStyle w:val="a3"/>
        <w:suppressAutoHyphens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0C48CF">
        <w:rPr>
          <w:rStyle w:val="a4"/>
          <w:b w:val="0"/>
          <w:color w:val="auto"/>
          <w:sz w:val="28"/>
          <w:szCs w:val="28"/>
          <w:lang w:val="uk-UA"/>
        </w:rPr>
        <w:t>Бюджетна система</w:t>
      </w:r>
      <w:r w:rsidRPr="000C48CF">
        <w:rPr>
          <w:color w:val="auto"/>
          <w:sz w:val="28"/>
          <w:szCs w:val="28"/>
          <w:lang w:val="uk-UA"/>
        </w:rPr>
        <w:t xml:space="preserve"> — сукупність самостійних відокремлених взаємопов'язаних між собою ланок, у яких функціонують бюджетні відносини.</w:t>
      </w:r>
    </w:p>
    <w:p w:rsidR="000C48CF" w:rsidRPr="000C48CF" w:rsidRDefault="00CE7C5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Style w:val="a4"/>
          <w:rFonts w:ascii="Times New Roman" w:hAnsi="Times New Roman"/>
          <w:b w:val="0"/>
          <w:sz w:val="28"/>
          <w:szCs w:val="28"/>
        </w:rPr>
        <w:t>Бюджетний устрій</w:t>
      </w:r>
      <w:r w:rsidRPr="000C48CF">
        <w:rPr>
          <w:rFonts w:ascii="Times New Roman" w:hAnsi="Times New Roman"/>
          <w:sz w:val="28"/>
          <w:szCs w:val="28"/>
        </w:rPr>
        <w:t xml:space="preserve"> — організація і принципи побудови бюджетної системи, її структури, розподіл доходів і видатків між окремими ланками, правові основи функціонування бюджетів, встановлення характеру взаємовідносин між бюджетами, взаємозв'язок між окремими ланками бюджетної системи.</w:t>
      </w:r>
    </w:p>
    <w:p w:rsidR="00CE7C53" w:rsidRPr="000C48CF" w:rsidRDefault="00CE7C5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Бюджетний устрій держави залежить від її державного устрою та адміністративно-територіального поділу. Тому для порівняння бюджетних систем двох країн я обрала Україну та Німеччину, оскільки ці країни досить суттєво відрізняють одна від одної можна дуже чітко проаналізувати характерні відмінності між їхнім бюджетним устроєм.</w:t>
      </w:r>
    </w:p>
    <w:p w:rsidR="000C48CF" w:rsidRPr="000C48CF" w:rsidRDefault="008E74F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 основній частині я розглянула бюджетні системи двох держав, бюджетний процес, міжбюджетні відносини а також доходи та видатки бюджетів.</w:t>
      </w:r>
    </w:p>
    <w:p w:rsidR="000C48CF" w:rsidRPr="000C48CF" w:rsidRDefault="00A751AF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Вся інформація, яка була взята для порівняння двох бюджетних систем була взята з навчальних підручників вітчизняни</w:t>
      </w:r>
      <w:r w:rsidR="008E74F3" w:rsidRPr="000C48CF">
        <w:rPr>
          <w:rFonts w:ascii="Times New Roman" w:hAnsi="Times New Roman"/>
          <w:sz w:val="28"/>
          <w:szCs w:val="28"/>
        </w:rPr>
        <w:t>х авторів</w:t>
      </w:r>
      <w:r w:rsidR="008E74F3" w:rsidRPr="000C48CF">
        <w:rPr>
          <w:rFonts w:ascii="Times New Roman" w:hAnsi="Times New Roman"/>
          <w:sz w:val="28"/>
          <w:szCs w:val="28"/>
          <w:lang w:val="ru-RU"/>
        </w:rPr>
        <w:t>.</w:t>
      </w:r>
    </w:p>
    <w:p w:rsidR="008E74F3" w:rsidRPr="000C48CF" w:rsidRDefault="008E74F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D97" w:rsidRPr="00422384" w:rsidRDefault="00CE7C5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48CF">
        <w:rPr>
          <w:rFonts w:ascii="Times New Roman" w:hAnsi="Times New Roman"/>
          <w:sz w:val="28"/>
          <w:szCs w:val="28"/>
        </w:rPr>
        <w:br w:type="page"/>
      </w:r>
      <w:r w:rsidR="00422384" w:rsidRPr="00422384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A90D97" w:rsidRPr="000C48CF">
        <w:rPr>
          <w:rFonts w:ascii="Times New Roman" w:hAnsi="Times New Roman"/>
          <w:sz w:val="28"/>
          <w:szCs w:val="28"/>
        </w:rPr>
        <w:t>Бюджет</w:t>
      </w:r>
      <w:r w:rsidR="00422384">
        <w:rPr>
          <w:rFonts w:ascii="Times New Roman" w:hAnsi="Times New Roman"/>
          <w:sz w:val="28"/>
          <w:szCs w:val="28"/>
        </w:rPr>
        <w:t>на система</w:t>
      </w:r>
    </w:p>
    <w:p w:rsidR="00422384" w:rsidRPr="00422384" w:rsidRDefault="00422384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51AF" w:rsidRPr="000C48CF" w:rsidRDefault="00EF68D8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Існує три варіанти виокремлення видів бюджетів:</w:t>
      </w:r>
    </w:p>
    <w:p w:rsidR="00EF68D8" w:rsidRPr="000C48CF" w:rsidRDefault="00EF68D8" w:rsidP="000C48CF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створення єдиного для всієї країни бюджету на загальнодержавному рівні на основі принципу централізації державних коштів у єдиному фонді;</w:t>
      </w:r>
    </w:p>
    <w:p w:rsidR="00EF68D8" w:rsidRPr="000C48CF" w:rsidRDefault="00EF68D8" w:rsidP="000C48CF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створення тільки регіональних (територіальних) бюджетів;</w:t>
      </w:r>
    </w:p>
    <w:p w:rsidR="00EF68D8" w:rsidRPr="000C48CF" w:rsidRDefault="00EF68D8" w:rsidP="000C48CF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створення кількох рівнів бюджету на основі поєднання на кожному рівні централізованих бюджетів.</w:t>
      </w:r>
    </w:p>
    <w:p w:rsidR="00A90D97" w:rsidRPr="000C48CF" w:rsidRDefault="00A90D97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Бюджетні системи обох країн побудована за третім варіантом .</w:t>
      </w:r>
    </w:p>
    <w:p w:rsidR="00664B22" w:rsidRPr="000C48CF" w:rsidRDefault="00664B22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Україна є унітарною державою тому вона має дворівневу бюджетну систему</w:t>
      </w:r>
      <w:r w:rsidR="00535BCA" w:rsidRPr="000C48CF">
        <w:rPr>
          <w:rFonts w:ascii="Times New Roman" w:hAnsi="Times New Roman"/>
          <w:sz w:val="28"/>
          <w:szCs w:val="28"/>
        </w:rPr>
        <w:t>,</w:t>
      </w:r>
      <w:r w:rsidRPr="000C48CF">
        <w:rPr>
          <w:rFonts w:ascii="Times New Roman" w:hAnsi="Times New Roman"/>
          <w:sz w:val="28"/>
          <w:szCs w:val="28"/>
        </w:rPr>
        <w:t xml:space="preserve"> що складається з державного та місцевих бюджетів. У сукупності ці бюджети становлять зведений бюджет України. Адміністративно Україна поділена на 24 області та Автономну Республіку Крим</w:t>
      </w:r>
      <w:r w:rsidR="00535BCA" w:rsidRPr="000C48CF">
        <w:rPr>
          <w:rFonts w:ascii="Times New Roman" w:hAnsi="Times New Roman"/>
          <w:sz w:val="28"/>
          <w:szCs w:val="28"/>
        </w:rPr>
        <w:t xml:space="preserve"> (хоча і має автономію, але її бюджет прирівнюється до обласного)</w:t>
      </w:r>
      <w:r w:rsidRPr="000C48CF">
        <w:rPr>
          <w:rFonts w:ascii="Times New Roman" w:hAnsi="Times New Roman"/>
          <w:sz w:val="28"/>
          <w:szCs w:val="28"/>
        </w:rPr>
        <w:t>, які в свою чергу діляться на райони, міста, села, селища та райони у містах. Тому склад місцевого бюджету наведений у додатку 1 має трирівневий характер.</w:t>
      </w:r>
    </w:p>
    <w:p w:rsidR="000C48CF" w:rsidRPr="000C48CF" w:rsidRDefault="00535BCA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Німеччина є федеративною республікою (офіційна назва – Федеративна Республіка Німеччина). Німеччина має трирівневу бюджетну систему, та складається з федеративного, земельного і общинного бюджету, що також пояснюється її адміністративно-територіальним поділом. Адміністративно Німеччина поділена на землі, округи й общини. Земель 16 – Баден-Вюртемберг, Баварія, Берлін, Бранденбург, Бремен, Гамбург, Гессен, Мекленбург-Передня Померанія, Нижня Саксонія, Північний Рейн-Вестфалія, Рейнланд-Пфальц, Саар, Саксонія-Ангальт, Шлезвіг-Гольштейн і Тюрінгія. Також Німеччина має 11 тисяч громад (общин), які об‘єднуються в округи. Усі землі мають широкі права автономі</w:t>
      </w:r>
      <w:r w:rsidR="00E31B5E" w:rsidRPr="000C48CF">
        <w:rPr>
          <w:rFonts w:ascii="Times New Roman" w:hAnsi="Times New Roman"/>
          <w:sz w:val="28"/>
          <w:szCs w:val="28"/>
        </w:rPr>
        <w:t>ї</w:t>
      </w:r>
      <w:r w:rsidRPr="000C48CF">
        <w:rPr>
          <w:rFonts w:ascii="Times New Roman" w:hAnsi="Times New Roman"/>
          <w:sz w:val="28"/>
          <w:szCs w:val="28"/>
        </w:rPr>
        <w:t>. Так, кожна земля має свою конституцію, свій парламент, прем‘єр-міністра, суди</w:t>
      </w:r>
      <w:r w:rsidR="00A90D97" w:rsidRPr="000C48CF">
        <w:rPr>
          <w:rFonts w:ascii="Times New Roman" w:hAnsi="Times New Roman"/>
          <w:sz w:val="28"/>
          <w:szCs w:val="28"/>
        </w:rPr>
        <w:t>. Разом бюджети, так само як і в Україні, складають єдиний зведений бюджет, показники якого звільнені від повторного обрахунку, пов‘язаного із взаєминами між бюджетами різних рівнів.</w:t>
      </w:r>
    </w:p>
    <w:p w:rsidR="00422384" w:rsidRDefault="00422384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50DC" w:rsidRPr="00422384" w:rsidRDefault="00422384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sz w:val="28"/>
          <w:szCs w:val="28"/>
        </w:rPr>
        <w:t>Міжбюджетні відносини</w:t>
      </w:r>
    </w:p>
    <w:p w:rsidR="00422384" w:rsidRDefault="00422384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50DC" w:rsidRPr="000C48CF" w:rsidRDefault="008A50DC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Міжбюджетні відносини – це відносини між державою та місцевими органами влади з приводу забезпечення відповідних бюджетів коштами для виконання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покладених на них функцій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.</w:t>
      </w:r>
    </w:p>
    <w:p w:rsidR="008A50DC" w:rsidRPr="000C48CF" w:rsidRDefault="008A50DC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Мета регулювання міжбюджетних відносин – забезпечення відповідності між повноваженнями та бюджетними ресурсами, які повинні забезпечувати виконання цих повноважень .</w:t>
      </w:r>
    </w:p>
    <w:p w:rsidR="008A50DC" w:rsidRPr="000C48CF" w:rsidRDefault="008A50DC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За напрямками взаємовідносин між бюджетами відносини можуть бути вертикальними та горизонтальними.</w:t>
      </w:r>
    </w:p>
    <w:p w:rsidR="008A50DC" w:rsidRPr="000C48CF" w:rsidRDefault="008A50DC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Вертикальні виникають між бюджетами різних рівнів, безпосередньо пов‘язаних між собою в ієрархічній структурі.</w:t>
      </w:r>
    </w:p>
    <w:p w:rsidR="0035424B" w:rsidRPr="000C48CF" w:rsidRDefault="008A50DC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Горизонтальні виникають між бюджетами одного рівня.</w:t>
      </w:r>
    </w:p>
    <w:p w:rsidR="0035424B" w:rsidRPr="000C48CF" w:rsidRDefault="0035424B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 Україні мають місце такі форми взаємовідносин:</w:t>
      </w:r>
    </w:p>
    <w:p w:rsidR="0035424B" w:rsidRPr="000C48CF" w:rsidRDefault="0035424B" w:rsidP="000C48CF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бюджетне субсидіювання;</w:t>
      </w:r>
    </w:p>
    <w:p w:rsidR="0035424B" w:rsidRPr="000C48CF" w:rsidRDefault="0035424B" w:rsidP="000C48CF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вилучення коштів;</w:t>
      </w:r>
    </w:p>
    <w:p w:rsidR="0035424B" w:rsidRPr="000C48CF" w:rsidRDefault="0035424B" w:rsidP="000C48CF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взаємні розрахунки;</w:t>
      </w:r>
    </w:p>
    <w:p w:rsidR="0035424B" w:rsidRPr="000C48CF" w:rsidRDefault="0035424B" w:rsidP="000C48CF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бюджетні позички.</w:t>
      </w:r>
    </w:p>
    <w:p w:rsidR="00146252" w:rsidRPr="000C48CF" w:rsidRDefault="0035424B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Бюджетна субсидіювання – передача коштів з бюджету вищого рівня до бюджетів нижчого рівня на безповоротній основі. Види бюджетних субсидіювань: бюджетна дотація; бюджетна субсидія; бюджетна субвенція.</w:t>
      </w:r>
    </w:p>
    <w:p w:rsidR="000C48CF" w:rsidRPr="000C48CF" w:rsidRDefault="00146252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Вилучення коштів – обернена бюджетному субсидіюванню, а саме бюджетній дотації; це надлишок коштів, що виникає у місцевих бюджетах на стадії бюджетного планування.</w:t>
      </w:r>
    </w:p>
    <w:p w:rsidR="00146252" w:rsidRPr="000C48CF" w:rsidRDefault="00146252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Взаємні розрахунки – виникають в процесі виконанні бюджетів при умові змін у перерозподілі</w:t>
      </w:r>
      <w:r w:rsidR="0035424B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доходів і видатків між бюджетами різних рівнів.</w:t>
      </w:r>
    </w:p>
    <w:p w:rsidR="00146252" w:rsidRPr="000C48CF" w:rsidRDefault="00146252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Бюджетні позички – виникають в процесі виконання бюджетів; тимчасова передача коштів з вищого рівня бюджету до нижчого.</w:t>
      </w:r>
    </w:p>
    <w:p w:rsidR="000C48CF" w:rsidRPr="000C48CF" w:rsidRDefault="00146252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У Бюджетному кодексі України передбачено спеціальний механізм міжбюджетних трансфертів, які, у свою чергу, базуються на фінансових нормативах бюджетної забезпеченості та відповідних коригуючи коефіцієнтах.</w:t>
      </w:r>
    </w:p>
    <w:p w:rsidR="000C48CF" w:rsidRPr="000C48CF" w:rsidRDefault="00146252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Фінансовий норматив бюджетної забезпеченості використовується для розподілу</w:t>
      </w:r>
      <w:r w:rsidR="00BA578E" w:rsidRPr="000C48CF">
        <w:rPr>
          <w:rFonts w:ascii="Times New Roman" w:hAnsi="Times New Roman"/>
          <w:sz w:val="28"/>
          <w:szCs w:val="28"/>
        </w:rPr>
        <w:t xml:space="preserve"> міжбюджетних трансфертів. Цей норматив визначається діленням загального обсягу фінансових ресурсів, що спрямовуються на реалізацію бюджетних програм, на кількість мешканців чи споживачів соціальних послуг тощо.</w:t>
      </w:r>
    </w:p>
    <w:p w:rsidR="00BA578E" w:rsidRPr="000C48CF" w:rsidRDefault="00BA578E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Фінансові нормативи бюджетної забезпеченості для місцевих бюджетів коригуються коефіцієнтами, що враховують відмінності у вартості надання соціальних послуг залежно від: кількості населення та споживачів соціальних послуг; соціально-економічних, демографічних, кліматичних, екологічних та інших особливостей адміністративно-територіальних одиниць.</w:t>
      </w:r>
    </w:p>
    <w:p w:rsidR="005172B9" w:rsidRPr="000C48CF" w:rsidRDefault="00BA578E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Вертикальний розподіл: трансферти, які надаються з державного бюджету України місцевим бюджетам. У Державному бюджеті України затверджується обсяг дотації вирівнювання та субвенцій окремо для бюджету АРК, кожного з обласних бюджетів, бюджетів міст обласного підпорядкування, районних бюджетів, бюджетів міст Києва та Севастополя, міст республіканського підпорядкування, а також коштів, що передаються до Державного бюджету з місцевих бюджетів, якщо є підстави для надання</w:t>
      </w:r>
      <w:r w:rsidR="005172B9" w:rsidRPr="000C48CF">
        <w:rPr>
          <w:rFonts w:ascii="Times New Roman" w:hAnsi="Times New Roman"/>
          <w:sz w:val="28"/>
          <w:szCs w:val="28"/>
        </w:rPr>
        <w:t xml:space="preserve"> та отримання міжбюджетних трансфертів.</w:t>
      </w:r>
    </w:p>
    <w:p w:rsidR="005172B9" w:rsidRPr="000C48CF" w:rsidRDefault="005172B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Горизонтальний розподіл: якщо в певному місцевому бюджеті виникає надлишок коштів понад запланований, то ці надлишкові кошти можуть бути вилучені та передані до іншого місцевого бюджету.</w:t>
      </w:r>
    </w:p>
    <w:p w:rsidR="005172B9" w:rsidRPr="000C48CF" w:rsidRDefault="005172B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 Німеччині механізм вертикального та горизонтального фінансового вирівнювання є досить складний. Для акумуляції ресурсів на потреби фінансового вирівнювання створений Федеральний фонд фінансового вирівнювання. Він формується за рахунок відрахувань частини податку на додану вартість.</w:t>
      </w:r>
    </w:p>
    <w:p w:rsidR="005172B9" w:rsidRPr="000C48CF" w:rsidRDefault="005172B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Якщо зростання фінансових потреб земель носить стійкий характер і не може бути покрите за рахунок короткострокових заходів, воно слугує підставою для збільшення їх частки в цьому податку.</w:t>
      </w:r>
    </w:p>
    <w:p w:rsidR="002928C6" w:rsidRPr="000C48CF" w:rsidRDefault="005172B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Свої особливості має й система горизонтального або міжземельного фінансового вирівнювання: між окремими землями, а також усередині земель, між громадами, які входять до їх складу. Згідно Конституції ФРН фінансово сильніші землі надають допомогу фінансово</w:t>
      </w:r>
      <w:r w:rsidR="002122B9" w:rsidRPr="000C48CF">
        <w:rPr>
          <w:rFonts w:ascii="Times New Roman" w:hAnsi="Times New Roman"/>
          <w:sz w:val="28"/>
          <w:szCs w:val="28"/>
        </w:rPr>
        <w:t xml:space="preserve"> слабшим землям. В основі системи лежить базовий принцип вирівнювання податкових доходів на душу населення. Метою вирівнювання є збільшення доходів фінансово слабких земель до рівня 95% від середнього рівня податкових надходжень на душу населення по всіх землях в цілому. Землі, що мають надлишок фінансових ресурсів 100-102% від середнього рівня доходів на душу населення по ФРН, не відраховують кошти на потреби фінансового вирівнювання. Вони перебувають у так званій мертвій зоні. Землі з доходами 102-110% на душу населення від середнього рівня відраховують 70% ресурсів, що перевищують середній рівень. Землі з доходами, що перевищують 110% від середнього рівня, весь надлишок понад цей рівень перераховують на потреби вирівнювання.</w:t>
      </w:r>
    </w:p>
    <w:p w:rsidR="002928C6" w:rsidRPr="000C48CF" w:rsidRDefault="002928C6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75% від ПДВ розподіляють між бюджетами земель пропорційно чисельності населення , а також відповідно економічній і демографічній ситуації. Інші 25% йдуть у Фонд фінансового вирівнювання земель.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Критерієм для надання коштів з Фонду слугує обсяг доходів земель і громад на душу населення. Для цього розраховуються 2 показника:</w:t>
      </w:r>
    </w:p>
    <w:p w:rsidR="002928C6" w:rsidRPr="000C48CF" w:rsidRDefault="002928C6" w:rsidP="000C48CF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первинний фінансовий потенціал – сума податкових надходжень у бюджет землі + 50% надходжень у бюджет громад, які входять до складу цієї землі, від найбільших податків.</w:t>
      </w:r>
    </w:p>
    <w:p w:rsidR="002928C6" w:rsidRPr="000C48CF" w:rsidRDefault="002928C6" w:rsidP="000C48CF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середній фінансовий потенціал</w:t>
      </w:r>
      <w:r w:rsidR="005172B9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– сума найбільших податків, які надходять у бюджети всіх земель і всіх громад, що розділена на чисельність населення ФРН і помножена на чисельність населення кожної окремо взятої землі. Допомогу одержують ті землі, у яких фінансові можливості становлять менше 95%.</w:t>
      </w:r>
    </w:p>
    <w:p w:rsidR="00422384" w:rsidRDefault="00A71D2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C48CF">
        <w:rPr>
          <w:rFonts w:ascii="Times New Roman" w:hAnsi="Times New Roman"/>
          <w:sz w:val="28"/>
          <w:szCs w:val="28"/>
        </w:rPr>
        <w:t>Т</w:t>
      </w:r>
      <w:r w:rsidR="002928C6" w:rsidRPr="000C48CF">
        <w:rPr>
          <w:rFonts w:ascii="Times New Roman" w:hAnsi="Times New Roman"/>
          <w:sz w:val="28"/>
          <w:szCs w:val="28"/>
        </w:rPr>
        <w:t>акож існує Фонд німецької єдності – спеціальна фінансова установа</w:t>
      </w:r>
      <w:r w:rsidR="00684DEE" w:rsidRPr="000C48CF">
        <w:rPr>
          <w:rFonts w:ascii="Times New Roman" w:hAnsi="Times New Roman"/>
          <w:sz w:val="28"/>
          <w:szCs w:val="28"/>
        </w:rPr>
        <w:t xml:space="preserve"> для вирівнювання фінансового потенціалу східних земель, які входили до складу колишньої НДР. Кошти фонду формуються за рахунок внесків з федерального бюджету і бюджетів земель та інших джерел.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</w:p>
    <w:p w:rsidR="00422384" w:rsidRPr="00BC2EF6" w:rsidRDefault="00BC2EF6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val="en-US"/>
        </w:rPr>
      </w:pPr>
      <w:r w:rsidRPr="00BC2EF6">
        <w:rPr>
          <w:rFonts w:ascii="Times New Roman" w:hAnsi="Times New Roman"/>
          <w:color w:val="FFFFFF"/>
          <w:sz w:val="28"/>
          <w:szCs w:val="28"/>
          <w:lang w:val="en-US"/>
        </w:rPr>
        <w:t>бюджет влада дохід видаток</w:t>
      </w:r>
    </w:p>
    <w:p w:rsidR="00CE7C53" w:rsidRPr="00422384" w:rsidRDefault="00422384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Pr="00422384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Доходи та видатки бюджету</w:t>
      </w:r>
    </w:p>
    <w:p w:rsidR="00422384" w:rsidRPr="00422384" w:rsidRDefault="00422384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7BCE" w:rsidRPr="000C48CF" w:rsidRDefault="00BD7BCE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Доходи бюджету – це економічні відносини, які виникають у держави з громадянами, підприємствами, установами, організаціями в процесі формування бюджетного фонду держави; це ті кошти, що надходять державі у постійне користування на безповоротній основі.</w:t>
      </w:r>
    </w:p>
    <w:p w:rsidR="000C48CF" w:rsidRPr="000C48CF" w:rsidRDefault="00906D5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 Україні відповідно до Бюджетного кодексу доходами бюджету є:</w:t>
      </w:r>
    </w:p>
    <w:p w:rsidR="00906D59" w:rsidRPr="000C48CF" w:rsidRDefault="00906D59" w:rsidP="000C48CF">
      <w:pPr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податкові надходження;</w:t>
      </w:r>
    </w:p>
    <w:p w:rsidR="00906D59" w:rsidRPr="000C48CF" w:rsidRDefault="00906D59" w:rsidP="000C48CF">
      <w:pPr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неподаткові надходження;</w:t>
      </w:r>
    </w:p>
    <w:p w:rsidR="00906D59" w:rsidRPr="000C48CF" w:rsidRDefault="00906D59" w:rsidP="000C48CF">
      <w:pPr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доходи від операцій з капіталом;</w:t>
      </w:r>
    </w:p>
    <w:p w:rsidR="00906D59" w:rsidRPr="000C48CF" w:rsidRDefault="00906D59" w:rsidP="000C48CF">
      <w:pPr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офіційні трансферти.</w:t>
      </w:r>
    </w:p>
    <w:p w:rsidR="00906D59" w:rsidRPr="000C48CF" w:rsidRDefault="00906D5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Податкові надходження: податки на прибуток; податки на власність; збори за спеціальне використання природних ресурсів; внутрішні податки на товари і послуги; податки на міжнародну торгівлю та зовнішні операції, інші податки.</w:t>
      </w:r>
    </w:p>
    <w:p w:rsidR="000C48CF" w:rsidRPr="000C48CF" w:rsidRDefault="00906D5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Неподаткові надходження: доходи від власності та підприємницької діяльності; адміністративні збори та платежі, доходи від некомерційного та побічного продажу; надходження від штрафів та фінансових санкцій та інші.</w:t>
      </w:r>
    </w:p>
    <w:p w:rsidR="00906D59" w:rsidRPr="000C48CF" w:rsidRDefault="00906D5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Доходи від операцій з капіталом: надходження від продажу основного капіталу; надходження від продажу державних запасів товарів; надходження від продажу землі і нематеріальних активів, інші.</w:t>
      </w:r>
    </w:p>
    <w:p w:rsidR="00906D59" w:rsidRPr="000C48CF" w:rsidRDefault="00906D5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Офіційні трансферти: від органів державного управління інших рівнів; з-за кордону; з недержавних джерел.</w:t>
      </w:r>
    </w:p>
    <w:p w:rsidR="000C48CF" w:rsidRPr="000C48CF" w:rsidRDefault="00906D5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 xml:space="preserve">Німеччина. Формування </w:t>
      </w:r>
      <w:r w:rsidR="00076291" w:rsidRPr="000C48CF">
        <w:rPr>
          <w:rFonts w:ascii="Times New Roman" w:hAnsi="Times New Roman"/>
          <w:sz w:val="28"/>
          <w:szCs w:val="28"/>
        </w:rPr>
        <w:t>доходів визначає цілу систему фінансових каналів, , через які до казни стікаються кошти від фізичних і юридичних осіб. Податкові надходження становлять 4/5 усіх доходів бюджету, при чому на 2/3 податкові надходження формуються за рахунок прямих податків</w:t>
      </w:r>
      <w:r w:rsidR="00316AEA" w:rsidRPr="000C48CF">
        <w:rPr>
          <w:rFonts w:ascii="Times New Roman" w:hAnsi="Times New Roman"/>
          <w:sz w:val="28"/>
          <w:szCs w:val="28"/>
        </w:rPr>
        <w:t>, 1/5 складають інші доходи</w:t>
      </w:r>
      <w:r w:rsidR="00076291" w:rsidRPr="000C48CF">
        <w:rPr>
          <w:rFonts w:ascii="Times New Roman" w:hAnsi="Times New Roman"/>
          <w:sz w:val="28"/>
          <w:szCs w:val="28"/>
        </w:rPr>
        <w:t>. У ФРН розрізняють 40 податків, загальними серед яких є: прибутковий; податок на корпорації; податок з обороту; податок на з/п, податок на пальне; податок на підприємства.</w:t>
      </w:r>
    </w:p>
    <w:p w:rsidR="00076291" w:rsidRPr="000C48CF" w:rsidRDefault="00076291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До федеральних податків належать: доходи від фінансових монополій; митні збори; податок із вантажного автотранспорту; разовий податок на майно; податок на користь ЄС.</w:t>
      </w:r>
    </w:p>
    <w:p w:rsidR="00076291" w:rsidRPr="000C48CF" w:rsidRDefault="00076291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Податкова система земель охоплює майже 25 податків: податки на майно, спадщину, під час придбання земельної ділянки, на автомобілі, проведення лотереї та ін..</w:t>
      </w:r>
    </w:p>
    <w:p w:rsidR="004A293A" w:rsidRPr="000C48CF" w:rsidRDefault="00316AEA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Видатки бюджету</w:t>
      </w:r>
      <w:r w:rsidR="004A293A" w:rsidRPr="000C48CF">
        <w:rPr>
          <w:rFonts w:ascii="Times New Roman" w:hAnsi="Times New Roman"/>
          <w:sz w:val="28"/>
          <w:szCs w:val="28"/>
        </w:rPr>
        <w:t xml:space="preserve"> – це економічні відносини, які складаються між державою з одного боку, юридичними і фізичними особами з іншого, на основі яких здійснюється процес використання коштів централізованого фонду грошових коштів за різними напрямами.</w:t>
      </w:r>
    </w:p>
    <w:p w:rsidR="000C48CF" w:rsidRPr="000C48CF" w:rsidRDefault="004A293A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Україна. Склад і структура видатків:</w:t>
      </w:r>
    </w:p>
    <w:p w:rsidR="004A293A" w:rsidRPr="000C48CF" w:rsidRDefault="004A293A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на загальнодержавні функції (у тому числі видатки на обслуговування державного боргу) 13%</w:t>
      </w:r>
    </w:p>
    <w:p w:rsidR="004A293A" w:rsidRPr="000C48CF" w:rsidRDefault="004A293A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оборона 7%</w:t>
      </w:r>
    </w:p>
    <w:p w:rsidR="004A293A" w:rsidRPr="000C48CF" w:rsidRDefault="004A293A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громадський порядок, безпека і судова влада 8%</w:t>
      </w:r>
    </w:p>
    <w:p w:rsidR="004A293A" w:rsidRPr="000C48CF" w:rsidRDefault="004A293A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економічна діяльність 16%</w:t>
      </w:r>
    </w:p>
    <w:p w:rsidR="004A293A" w:rsidRPr="000C48CF" w:rsidRDefault="004A293A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охорона навколишнього природного середовища 1%</w:t>
      </w:r>
    </w:p>
    <w:p w:rsidR="00030299" w:rsidRPr="000C48CF" w:rsidRDefault="004A293A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ЖКГ</w:t>
      </w:r>
      <w:r w:rsidR="00030299" w:rsidRPr="000C48CF">
        <w:rPr>
          <w:rFonts w:ascii="Times New Roman" w:hAnsi="Times New Roman"/>
          <w:sz w:val="28"/>
          <w:szCs w:val="28"/>
        </w:rPr>
        <w:t xml:space="preserve"> 2%</w:t>
      </w:r>
    </w:p>
    <w:p w:rsidR="00030299" w:rsidRPr="000C48CF" w:rsidRDefault="00030299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охорона здоров‘я 13%</w:t>
      </w:r>
    </w:p>
    <w:p w:rsidR="00030299" w:rsidRPr="000C48CF" w:rsidRDefault="00030299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духовний і фізичний розвиток 3%</w:t>
      </w:r>
    </w:p>
    <w:p w:rsidR="00030299" w:rsidRPr="000C48CF" w:rsidRDefault="00030299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освіта 20%</w:t>
      </w:r>
    </w:p>
    <w:p w:rsidR="00030299" w:rsidRPr="000C48CF" w:rsidRDefault="00030299" w:rsidP="000C48CF">
      <w:pPr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соціальний захист і соціальне забезпечення 17%</w:t>
      </w:r>
    </w:p>
    <w:p w:rsidR="00030299" w:rsidRPr="000C48CF" w:rsidRDefault="0003029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Видатки бюджетів України планують органи системи Міністерства фінансів відповідного рівня.</w:t>
      </w:r>
    </w:p>
    <w:p w:rsidR="00030299" w:rsidRPr="000C48CF" w:rsidRDefault="0003029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У виконанні видаткової частини бюджетів приймають участь: органи системи Міністерства фінансів, органи державного казначейства, банківські установи, розпорядники і одержувачі бюджетних коштів і контрольно-ревізійне управління.</w:t>
      </w:r>
    </w:p>
    <w:p w:rsidR="00030299" w:rsidRPr="000C48CF" w:rsidRDefault="00030299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Німеччина. На центральний уряд припадають наступні витрати:</w:t>
      </w:r>
    </w:p>
    <w:p w:rsidR="00030299" w:rsidRPr="000C48CF" w:rsidRDefault="00030299" w:rsidP="000C48CF">
      <w:pPr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економічні витрати (з них 90% іде на фінансування виробничої інфраструктури: будівництво й утримання автошляхів, аеродромів, федеральної залізниці і пошти);</w:t>
      </w:r>
    </w:p>
    <w:p w:rsidR="00030299" w:rsidRPr="000C48CF" w:rsidRDefault="00030299" w:rsidP="000C48CF">
      <w:pPr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військові витрати 25-30%</w:t>
      </w:r>
    </w:p>
    <w:p w:rsidR="00030299" w:rsidRPr="000C48CF" w:rsidRDefault="00030299" w:rsidP="000C48CF">
      <w:pPr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витрати на зовнішні відносини;</w:t>
      </w:r>
    </w:p>
    <w:p w:rsidR="00030299" w:rsidRPr="000C48CF" w:rsidRDefault="00030299" w:rsidP="000C48CF">
      <w:pPr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соціальні витрати(основна частина)</w:t>
      </w:r>
      <w:r w:rsidR="00E84F03" w:rsidRPr="000C48CF">
        <w:rPr>
          <w:rFonts w:ascii="Times New Roman" w:hAnsi="Times New Roman"/>
          <w:sz w:val="28"/>
          <w:szCs w:val="28"/>
        </w:rPr>
        <w:t xml:space="preserve">, особливо такі статті, як пенсії, виплати допомоги із безробіття, перенавчання безробітних і фінансування бірж праці, допомоги при народженні та догляду за дитиною </w:t>
      </w:r>
      <w:r w:rsidRPr="000C48CF">
        <w:rPr>
          <w:rFonts w:ascii="Times New Roman" w:hAnsi="Times New Roman"/>
          <w:sz w:val="28"/>
          <w:szCs w:val="28"/>
        </w:rPr>
        <w:t>;</w:t>
      </w:r>
    </w:p>
    <w:p w:rsidR="00030299" w:rsidRPr="000C48CF" w:rsidRDefault="00030299" w:rsidP="000C48CF">
      <w:pPr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витрати на фінансове сприяння окремих галузей, виробництв і регіонів;</w:t>
      </w:r>
    </w:p>
    <w:p w:rsidR="00F04376" w:rsidRPr="000C48CF" w:rsidRDefault="00030299" w:rsidP="000C48CF">
      <w:pPr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витрати на науку та освіту відбуваються через міністерство досліджень і технологій 2,9%</w:t>
      </w:r>
    </w:p>
    <w:p w:rsidR="00422384" w:rsidRPr="00422384" w:rsidRDefault="00030299" w:rsidP="000C48CF">
      <w:pPr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витрати на утримання адміністративного апарату 3%.</w:t>
      </w:r>
    </w:p>
    <w:p w:rsidR="00422384" w:rsidRPr="00422384" w:rsidRDefault="00422384" w:rsidP="0042238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E7C53" w:rsidRPr="000C48CF" w:rsidRDefault="00A90D97" w:rsidP="0042238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br w:type="page"/>
      </w:r>
      <w:r w:rsidR="00CE7C53" w:rsidRPr="000C48CF">
        <w:rPr>
          <w:rFonts w:ascii="Times New Roman" w:hAnsi="Times New Roman"/>
          <w:sz w:val="28"/>
          <w:szCs w:val="28"/>
        </w:rPr>
        <w:t>Висновки</w:t>
      </w:r>
    </w:p>
    <w:p w:rsidR="00422384" w:rsidRDefault="00422384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E7C53" w:rsidRPr="000C48CF" w:rsidRDefault="008E74F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Спільне та відмінне між бюджетним устроєм України та Німеччини.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9"/>
        <w:gridCol w:w="4354"/>
      </w:tblGrid>
      <w:tr w:rsidR="008E74F3" w:rsidRPr="007D05BD" w:rsidTr="007D05BD">
        <w:trPr>
          <w:jc w:val="center"/>
        </w:trPr>
        <w:tc>
          <w:tcPr>
            <w:tcW w:w="4429" w:type="dxa"/>
            <w:shd w:val="clear" w:color="auto" w:fill="auto"/>
          </w:tcPr>
          <w:p w:rsidR="008E74F3" w:rsidRPr="007D05BD" w:rsidRDefault="008E74F3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Україна</w:t>
            </w:r>
          </w:p>
        </w:tc>
        <w:tc>
          <w:tcPr>
            <w:tcW w:w="4354" w:type="dxa"/>
            <w:shd w:val="clear" w:color="auto" w:fill="auto"/>
          </w:tcPr>
          <w:p w:rsidR="008E74F3" w:rsidRPr="007D05BD" w:rsidRDefault="008E74F3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ФРН</w:t>
            </w:r>
          </w:p>
        </w:tc>
      </w:tr>
      <w:tr w:rsidR="008E74F3" w:rsidRPr="007D05BD" w:rsidTr="007D05BD">
        <w:trPr>
          <w:jc w:val="center"/>
        </w:trPr>
        <w:tc>
          <w:tcPr>
            <w:tcW w:w="8783" w:type="dxa"/>
            <w:gridSpan w:val="2"/>
            <w:shd w:val="clear" w:color="auto" w:fill="auto"/>
          </w:tcPr>
          <w:p w:rsidR="008E74F3" w:rsidRPr="007D05BD" w:rsidRDefault="008E74F3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Бюджетна система</w:t>
            </w:r>
          </w:p>
        </w:tc>
      </w:tr>
      <w:tr w:rsidR="008E74F3" w:rsidRPr="007D05BD" w:rsidTr="007D05BD">
        <w:trPr>
          <w:jc w:val="center"/>
        </w:trPr>
        <w:tc>
          <w:tcPr>
            <w:tcW w:w="4429" w:type="dxa"/>
            <w:shd w:val="clear" w:color="auto" w:fill="auto"/>
          </w:tcPr>
          <w:p w:rsidR="000C48CF" w:rsidRPr="007D05BD" w:rsidRDefault="008E74F3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2 рівнева:</w:t>
            </w:r>
          </w:p>
          <w:p w:rsidR="008E74F3" w:rsidRPr="007D05BD" w:rsidRDefault="008E74F3" w:rsidP="007D05BD">
            <w:pPr>
              <w:numPr>
                <w:ilvl w:val="0"/>
                <w:numId w:val="7"/>
              </w:numPr>
              <w:suppressAutoHyphens/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державний</w:t>
            </w:r>
          </w:p>
          <w:p w:rsidR="008E74F3" w:rsidRPr="007D05BD" w:rsidRDefault="008E74F3" w:rsidP="007D05BD">
            <w:pPr>
              <w:numPr>
                <w:ilvl w:val="0"/>
                <w:numId w:val="7"/>
              </w:numPr>
              <w:suppressAutoHyphens/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місцевий</w:t>
            </w:r>
          </w:p>
        </w:tc>
        <w:tc>
          <w:tcPr>
            <w:tcW w:w="4354" w:type="dxa"/>
            <w:shd w:val="clear" w:color="auto" w:fill="auto"/>
          </w:tcPr>
          <w:p w:rsidR="008E74F3" w:rsidRPr="007D05BD" w:rsidRDefault="008E74F3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3 рівнева:</w:t>
            </w:r>
          </w:p>
          <w:p w:rsidR="008E74F3" w:rsidRPr="007D05BD" w:rsidRDefault="008E74F3" w:rsidP="007D05BD">
            <w:pPr>
              <w:numPr>
                <w:ilvl w:val="0"/>
                <w:numId w:val="8"/>
              </w:numPr>
              <w:suppressAutoHyphens/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федеративний</w:t>
            </w:r>
          </w:p>
          <w:p w:rsidR="008E74F3" w:rsidRPr="007D05BD" w:rsidRDefault="008E74F3" w:rsidP="007D05BD">
            <w:pPr>
              <w:numPr>
                <w:ilvl w:val="0"/>
                <w:numId w:val="8"/>
              </w:numPr>
              <w:suppressAutoHyphens/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земельний</w:t>
            </w:r>
          </w:p>
          <w:p w:rsidR="008E74F3" w:rsidRPr="007D05BD" w:rsidRDefault="008E74F3" w:rsidP="007D05BD">
            <w:pPr>
              <w:numPr>
                <w:ilvl w:val="0"/>
                <w:numId w:val="8"/>
              </w:numPr>
              <w:suppressAutoHyphens/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общинний</w:t>
            </w:r>
          </w:p>
        </w:tc>
      </w:tr>
      <w:tr w:rsidR="008E74F3" w:rsidRPr="007D05BD" w:rsidTr="007D05BD">
        <w:trPr>
          <w:jc w:val="center"/>
        </w:trPr>
        <w:tc>
          <w:tcPr>
            <w:tcW w:w="8783" w:type="dxa"/>
            <w:gridSpan w:val="2"/>
            <w:shd w:val="clear" w:color="auto" w:fill="auto"/>
          </w:tcPr>
          <w:p w:rsidR="008E74F3" w:rsidRPr="007D05BD" w:rsidRDefault="008E74F3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Всі бюджети об‘єднані в зведений бюджет</w:t>
            </w:r>
          </w:p>
        </w:tc>
      </w:tr>
      <w:tr w:rsidR="008E74F3" w:rsidRPr="007D05BD" w:rsidTr="007D05BD">
        <w:trPr>
          <w:jc w:val="center"/>
        </w:trPr>
        <w:tc>
          <w:tcPr>
            <w:tcW w:w="8783" w:type="dxa"/>
            <w:gridSpan w:val="2"/>
            <w:shd w:val="clear" w:color="auto" w:fill="auto"/>
          </w:tcPr>
          <w:p w:rsidR="008E74F3" w:rsidRPr="007D05BD" w:rsidRDefault="008E74F3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Бюджетний процес</w:t>
            </w:r>
          </w:p>
        </w:tc>
      </w:tr>
      <w:tr w:rsidR="008E74F3" w:rsidRPr="007D05BD" w:rsidTr="007D05BD">
        <w:trPr>
          <w:jc w:val="center"/>
        </w:trPr>
        <w:tc>
          <w:tcPr>
            <w:tcW w:w="8783" w:type="dxa"/>
            <w:gridSpan w:val="2"/>
            <w:shd w:val="clear" w:color="auto" w:fill="auto"/>
          </w:tcPr>
          <w:p w:rsidR="008E74F3" w:rsidRPr="007D05BD" w:rsidRDefault="008E74F3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Бюджетний рік співпадає з календарним роком</w:t>
            </w:r>
          </w:p>
        </w:tc>
      </w:tr>
      <w:tr w:rsidR="00F04376" w:rsidRPr="007D05BD" w:rsidTr="007D05BD">
        <w:trPr>
          <w:jc w:val="center"/>
        </w:trPr>
        <w:tc>
          <w:tcPr>
            <w:tcW w:w="8783" w:type="dxa"/>
            <w:gridSpan w:val="2"/>
            <w:shd w:val="clear" w:color="auto" w:fill="auto"/>
          </w:tcPr>
          <w:p w:rsidR="00F04376" w:rsidRPr="007D05BD" w:rsidRDefault="00F04376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Міжбюджетні відносини</w:t>
            </w:r>
          </w:p>
        </w:tc>
      </w:tr>
      <w:tr w:rsidR="00D43582" w:rsidRPr="007D05BD" w:rsidTr="007D05BD">
        <w:trPr>
          <w:jc w:val="center"/>
        </w:trPr>
        <w:tc>
          <w:tcPr>
            <w:tcW w:w="8783" w:type="dxa"/>
            <w:gridSpan w:val="2"/>
            <w:shd w:val="clear" w:color="auto" w:fill="auto"/>
          </w:tcPr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Горизонтальні та вертикальні відносини</w:t>
            </w:r>
          </w:p>
        </w:tc>
      </w:tr>
      <w:tr w:rsidR="00D43582" w:rsidRPr="007D05BD" w:rsidTr="007D05BD">
        <w:trPr>
          <w:jc w:val="center"/>
        </w:trPr>
        <w:tc>
          <w:tcPr>
            <w:tcW w:w="4429" w:type="dxa"/>
            <w:shd w:val="clear" w:color="auto" w:fill="auto"/>
          </w:tcPr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Вертикальний: передання коштів на місцевий рівень здійснюється з державного бюджету;</w:t>
            </w:r>
          </w:p>
          <w:p w:rsidR="00F04376" w:rsidRPr="007D05BD" w:rsidRDefault="00F04376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F04376" w:rsidRPr="007D05BD" w:rsidRDefault="00F04376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Горизонтальний: вилучення коштів відбувається якщо у місцевих бюджетів існує надлишок доходів(доходи вище планових), вилучається весь надлишок та передається до інших місцевих бюджетів.</w:t>
            </w:r>
          </w:p>
        </w:tc>
        <w:tc>
          <w:tcPr>
            <w:tcW w:w="4354" w:type="dxa"/>
            <w:shd w:val="clear" w:color="auto" w:fill="auto"/>
          </w:tcPr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Вертикальний: вирівнювання відбувається рахунок коштів з 1) Федерального фонду фінансового вирівнювання; 2) Фонду німецької єдності;</w:t>
            </w:r>
          </w:p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Горизонтальний: якщо існує надлишок коштів у земельних бюджетах:</w:t>
            </w:r>
          </w:p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Якщо надлишок 100-102% - мертва зона, кошти не вилучаються;</w:t>
            </w:r>
          </w:p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102-110% - вилучається 70% надлишку</w:t>
            </w:r>
          </w:p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Більше 110% - вилучаються всі надлишкові кошти.</w:t>
            </w:r>
          </w:p>
        </w:tc>
      </w:tr>
      <w:tr w:rsidR="00D43582" w:rsidRPr="007D05BD" w:rsidTr="007D05BD">
        <w:trPr>
          <w:jc w:val="center"/>
        </w:trPr>
        <w:tc>
          <w:tcPr>
            <w:tcW w:w="8783" w:type="dxa"/>
            <w:gridSpan w:val="2"/>
            <w:shd w:val="clear" w:color="auto" w:fill="auto"/>
          </w:tcPr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Доходи та видатки</w:t>
            </w:r>
          </w:p>
        </w:tc>
      </w:tr>
      <w:tr w:rsidR="00D43582" w:rsidRPr="007D05BD" w:rsidTr="007D05BD">
        <w:trPr>
          <w:jc w:val="center"/>
        </w:trPr>
        <w:tc>
          <w:tcPr>
            <w:tcW w:w="8783" w:type="dxa"/>
            <w:gridSpan w:val="2"/>
            <w:shd w:val="clear" w:color="auto" w:fill="auto"/>
          </w:tcPr>
          <w:p w:rsidR="00D43582" w:rsidRPr="007D05BD" w:rsidRDefault="00D43582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Основним джерелом доходів є податкові надходження</w:t>
            </w:r>
          </w:p>
        </w:tc>
      </w:tr>
      <w:tr w:rsidR="00F04376" w:rsidRPr="007D05BD" w:rsidTr="007D05BD">
        <w:trPr>
          <w:jc w:val="center"/>
        </w:trPr>
        <w:tc>
          <w:tcPr>
            <w:tcW w:w="4429" w:type="dxa"/>
            <w:shd w:val="clear" w:color="auto" w:fill="auto"/>
          </w:tcPr>
          <w:p w:rsidR="00F04376" w:rsidRPr="007D05BD" w:rsidRDefault="00F04376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Більша частина видатків припадає на освіту</w:t>
            </w:r>
          </w:p>
        </w:tc>
        <w:tc>
          <w:tcPr>
            <w:tcW w:w="4354" w:type="dxa"/>
            <w:shd w:val="clear" w:color="auto" w:fill="auto"/>
          </w:tcPr>
          <w:p w:rsidR="00F04376" w:rsidRPr="007D05BD" w:rsidRDefault="00F04376" w:rsidP="007D05BD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7D05BD">
              <w:rPr>
                <w:rFonts w:ascii="Times New Roman" w:hAnsi="Times New Roman"/>
                <w:sz w:val="20"/>
                <w:szCs w:val="24"/>
              </w:rPr>
              <w:t>Більша частина видатків - соціальні витрати</w:t>
            </w:r>
          </w:p>
        </w:tc>
      </w:tr>
    </w:tbl>
    <w:p w:rsidR="00F04376" w:rsidRPr="000C48CF" w:rsidRDefault="00F04376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384" w:rsidRDefault="00F04376" w:rsidP="000C48CF">
      <w:pPr>
        <w:tabs>
          <w:tab w:val="left" w:pos="2092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C48CF">
        <w:rPr>
          <w:rFonts w:ascii="Times New Roman" w:hAnsi="Times New Roman"/>
          <w:sz w:val="28"/>
          <w:szCs w:val="28"/>
        </w:rPr>
        <w:br w:type="page"/>
        <w:t>Додаток 1</w:t>
      </w:r>
    </w:p>
    <w:p w:rsidR="00422384" w:rsidRDefault="00422384" w:rsidP="000C48CF">
      <w:pPr>
        <w:tabs>
          <w:tab w:val="left" w:pos="2092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E74F3" w:rsidRPr="00422384" w:rsidRDefault="00791CE0" w:rsidP="000C48CF">
      <w:pPr>
        <w:tabs>
          <w:tab w:val="left" w:pos="2092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0C48CF">
        <w:rPr>
          <w:rFonts w:ascii="Times New Roman" w:hAnsi="Times New Roman"/>
          <w:sz w:val="28"/>
          <w:szCs w:val="24"/>
        </w:rPr>
        <w:t>Складові зведеного (консолідованого) бюджету України</w:t>
      </w:r>
    </w:p>
    <w:p w:rsidR="00422384" w:rsidRDefault="008C343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49.75pt">
            <v:imagedata r:id="rId8" o:title=""/>
          </v:shape>
        </w:pict>
      </w:r>
    </w:p>
    <w:p w:rsidR="00422384" w:rsidRDefault="00422384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91CE0" w:rsidRDefault="00172723" w:rsidP="000C48C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C48CF">
        <w:rPr>
          <w:rFonts w:ascii="Times New Roman" w:hAnsi="Times New Roman"/>
          <w:sz w:val="28"/>
          <w:szCs w:val="28"/>
        </w:rPr>
        <w:br w:type="page"/>
      </w:r>
      <w:r w:rsidR="00422384">
        <w:rPr>
          <w:rFonts w:ascii="Times New Roman" w:hAnsi="Times New Roman"/>
          <w:sz w:val="28"/>
          <w:szCs w:val="28"/>
        </w:rPr>
        <w:t>Список використаної літератури</w:t>
      </w:r>
    </w:p>
    <w:p w:rsidR="00422384" w:rsidRPr="00422384" w:rsidRDefault="00422384" w:rsidP="0042238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172723" w:rsidRPr="000C48CF" w:rsidRDefault="00172723" w:rsidP="0042238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Бюджетна система: навч. Посібник / К.М. Владимиров, Л.О. Абсава, Л.В.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Владимирова, Т.К.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Мінза. – К.: Кондор, 2009. – 220с.</w:t>
      </w:r>
    </w:p>
    <w:p w:rsidR="00172723" w:rsidRPr="000C48CF" w:rsidRDefault="00172723" w:rsidP="0042238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 xml:space="preserve">Бюджетна система України: навч. посібн. / М.І.Карлін. – К.: Знання, 2008. – 429с. – (Вища освіта </w:t>
      </w:r>
      <w:r w:rsidRPr="000C48CF">
        <w:rPr>
          <w:rFonts w:ascii="Times New Roman" w:hAnsi="Times New Roman"/>
          <w:sz w:val="28"/>
          <w:szCs w:val="28"/>
          <w:lang w:val="en-US"/>
        </w:rPr>
        <w:t>XXI</w:t>
      </w:r>
      <w:r w:rsidRPr="000C48CF">
        <w:rPr>
          <w:rFonts w:ascii="Times New Roman" w:hAnsi="Times New Roman"/>
          <w:sz w:val="28"/>
          <w:szCs w:val="28"/>
        </w:rPr>
        <w:t xml:space="preserve"> століття). – Бібліогр.: с.424-428.</w:t>
      </w:r>
    </w:p>
    <w:p w:rsidR="00FE380B" w:rsidRPr="000C48CF" w:rsidRDefault="00FE380B" w:rsidP="0042238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Бюджетна система України: навч. посібник / Л.В.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Фещенко, П.В. Пронза, Н.В. Кузьминчук; М-во освіти і науки України. – К.: Кондор, 2008. – 440с.</w:t>
      </w:r>
    </w:p>
    <w:p w:rsidR="00FE380B" w:rsidRPr="000C48CF" w:rsidRDefault="00FE380B" w:rsidP="0042238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Бюджетна система України: навч. посіб. / Ю.В.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 xml:space="preserve">Пасічник. – 2-ге вид., переобл. і доповн. – К.: Знання, 2008. – 670с. – (Вища освіта </w:t>
      </w:r>
      <w:r w:rsidRPr="000C48CF">
        <w:rPr>
          <w:rFonts w:ascii="Times New Roman" w:hAnsi="Times New Roman"/>
          <w:sz w:val="28"/>
          <w:szCs w:val="28"/>
          <w:lang w:val="en-US"/>
        </w:rPr>
        <w:t>XXI</w:t>
      </w:r>
      <w:r w:rsidRPr="000C48CF">
        <w:rPr>
          <w:rFonts w:ascii="Times New Roman" w:hAnsi="Times New Roman"/>
          <w:sz w:val="28"/>
          <w:szCs w:val="28"/>
        </w:rPr>
        <w:t xml:space="preserve"> століття).</w:t>
      </w:r>
    </w:p>
    <w:p w:rsidR="00FE380B" w:rsidRPr="000C48CF" w:rsidRDefault="00FE380B" w:rsidP="0042238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Фінансові системи зарубіжних країн: навч. посіб. / Л.О</w:t>
      </w:r>
      <w:r w:rsidR="000C48CF" w:rsidRPr="000C48C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Миргородська. – К.: Центр навчальної літератури, 2003. – 240с.</w:t>
      </w:r>
    </w:p>
    <w:p w:rsidR="00FE380B" w:rsidRPr="000C48CF" w:rsidRDefault="00FE380B" w:rsidP="0042238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Фінанси: підручник / С.І.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Юрій, Л.М.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Алексеєнко, І.В.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Зябковський, О.П.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Кириленко та ін.. за ред. С.І</w:t>
      </w:r>
      <w:r w:rsidRPr="000C48CF">
        <w:rPr>
          <w:rFonts w:ascii="Times New Roman" w:hAnsi="Times New Roman"/>
          <w:sz w:val="28"/>
          <w:szCs w:val="28"/>
          <w:lang w:val="ru-RU"/>
        </w:rPr>
        <w:t>.</w:t>
      </w:r>
      <w:r w:rsidR="000C48CF" w:rsidRPr="000C48C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Юрія, В.М.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Федосова. – К.: Знання, 2008.-611с.</w:t>
      </w:r>
    </w:p>
    <w:p w:rsidR="00FE380B" w:rsidRPr="000C48CF" w:rsidRDefault="00FE380B" w:rsidP="0042238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Фінанси: курс для фінансистів: навч. посібник / В.І.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Оспіщев, О.П.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Близнюк, Л.П.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="00BA3872" w:rsidRPr="000C48CF">
        <w:rPr>
          <w:rFonts w:ascii="Times New Roman" w:hAnsi="Times New Roman"/>
          <w:sz w:val="28"/>
          <w:szCs w:val="28"/>
        </w:rPr>
        <w:t>Лачкова, Т.О.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="00BA3872" w:rsidRPr="000C48CF">
        <w:rPr>
          <w:rFonts w:ascii="Times New Roman" w:hAnsi="Times New Roman"/>
          <w:sz w:val="28"/>
          <w:szCs w:val="28"/>
        </w:rPr>
        <w:t>Ставерська; за ред.. В.І.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="00BA3872" w:rsidRPr="000C48CF">
        <w:rPr>
          <w:rFonts w:ascii="Times New Roman" w:hAnsi="Times New Roman"/>
          <w:sz w:val="28"/>
          <w:szCs w:val="28"/>
        </w:rPr>
        <w:t>Оспіщева. – К.: Знання, 2008.-567с.</w:t>
      </w:r>
    </w:p>
    <w:p w:rsidR="00BA3872" w:rsidRPr="00422384" w:rsidRDefault="00BA3872" w:rsidP="0042238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C48CF">
        <w:rPr>
          <w:rFonts w:ascii="Times New Roman" w:hAnsi="Times New Roman"/>
          <w:sz w:val="28"/>
          <w:szCs w:val="28"/>
        </w:rPr>
        <w:t>Фінансові системи зарубіжних країн: навч.посібн. / Ю.М.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>Руденко, В.В.</w:t>
      </w:r>
      <w:r w:rsidR="000C48CF" w:rsidRPr="000C48CF">
        <w:rPr>
          <w:rFonts w:ascii="Times New Roman" w:hAnsi="Times New Roman"/>
          <w:sz w:val="28"/>
          <w:szCs w:val="28"/>
        </w:rPr>
        <w:t xml:space="preserve"> </w:t>
      </w:r>
      <w:r w:rsidRPr="000C48CF">
        <w:rPr>
          <w:rFonts w:ascii="Times New Roman" w:hAnsi="Times New Roman"/>
          <w:sz w:val="28"/>
          <w:szCs w:val="28"/>
        </w:rPr>
        <w:t xml:space="preserve">Токар; Міністерство освіти і науки України, ДВНЗ </w:t>
      </w:r>
      <w:r w:rsidR="000C48CF" w:rsidRPr="000C48CF">
        <w:rPr>
          <w:rFonts w:ascii="Times New Roman" w:hAnsi="Times New Roman"/>
          <w:sz w:val="28"/>
          <w:szCs w:val="28"/>
        </w:rPr>
        <w:t>"</w:t>
      </w:r>
      <w:r w:rsidRPr="000C48CF">
        <w:rPr>
          <w:rFonts w:ascii="Times New Roman" w:hAnsi="Times New Roman"/>
          <w:sz w:val="28"/>
          <w:szCs w:val="28"/>
        </w:rPr>
        <w:t>Київський нац. екон. ун-т ім.. В.Гетьмана</w:t>
      </w:r>
      <w:r w:rsidR="000C48CF" w:rsidRPr="000C48CF">
        <w:rPr>
          <w:rFonts w:ascii="Times New Roman" w:hAnsi="Times New Roman"/>
          <w:sz w:val="28"/>
          <w:szCs w:val="28"/>
        </w:rPr>
        <w:t>"</w:t>
      </w:r>
      <w:r w:rsidRPr="000C48CF">
        <w:rPr>
          <w:rFonts w:ascii="Times New Roman" w:hAnsi="Times New Roman"/>
          <w:sz w:val="28"/>
          <w:szCs w:val="28"/>
        </w:rPr>
        <w:t>. – К.: КНЕУ, 2010. – 347с. – Бібліогр.: с.336-337.</w:t>
      </w:r>
    </w:p>
    <w:p w:rsidR="000C48CF" w:rsidRPr="00422384" w:rsidRDefault="000C48CF" w:rsidP="00422384">
      <w:pPr>
        <w:suppressAutoHyphens/>
        <w:spacing w:after="0" w:line="360" w:lineRule="auto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0C48CF" w:rsidRPr="00422384" w:rsidSect="000C48CF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BD" w:rsidRDefault="007D05BD" w:rsidP="000C48CF">
      <w:pPr>
        <w:spacing w:after="0" w:line="240" w:lineRule="auto"/>
      </w:pPr>
      <w:r>
        <w:separator/>
      </w:r>
    </w:p>
  </w:endnote>
  <w:endnote w:type="continuationSeparator" w:id="0">
    <w:p w:rsidR="007D05BD" w:rsidRDefault="007D05BD" w:rsidP="000C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BD" w:rsidRDefault="007D05BD" w:rsidP="000C48CF">
      <w:pPr>
        <w:spacing w:after="0" w:line="240" w:lineRule="auto"/>
      </w:pPr>
      <w:r>
        <w:separator/>
      </w:r>
    </w:p>
  </w:footnote>
  <w:footnote w:type="continuationSeparator" w:id="0">
    <w:p w:rsidR="007D05BD" w:rsidRDefault="007D05BD" w:rsidP="000C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CF" w:rsidRPr="005A2189" w:rsidRDefault="000C48CF" w:rsidP="000C48CF">
    <w:pPr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038AE"/>
    <w:multiLevelType w:val="hybridMultilevel"/>
    <w:tmpl w:val="07B4CC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E636F1"/>
    <w:multiLevelType w:val="hybridMultilevel"/>
    <w:tmpl w:val="D67855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51DF9"/>
    <w:multiLevelType w:val="hybridMultilevel"/>
    <w:tmpl w:val="324E66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01607"/>
    <w:multiLevelType w:val="hybridMultilevel"/>
    <w:tmpl w:val="9896426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D90F3D"/>
    <w:multiLevelType w:val="hybridMultilevel"/>
    <w:tmpl w:val="8168D90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1733AB"/>
    <w:multiLevelType w:val="hybridMultilevel"/>
    <w:tmpl w:val="DBAC18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105B4"/>
    <w:multiLevelType w:val="hybridMultilevel"/>
    <w:tmpl w:val="00FAC6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85C01"/>
    <w:multiLevelType w:val="hybridMultilevel"/>
    <w:tmpl w:val="AF2246C8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7C6B6E2F"/>
    <w:multiLevelType w:val="hybridMultilevel"/>
    <w:tmpl w:val="9AC26B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C53"/>
    <w:rsid w:val="000213DF"/>
    <w:rsid w:val="00030299"/>
    <w:rsid w:val="00047784"/>
    <w:rsid w:val="00076291"/>
    <w:rsid w:val="000C48CF"/>
    <w:rsid w:val="000D13C2"/>
    <w:rsid w:val="00146252"/>
    <w:rsid w:val="00151EE1"/>
    <w:rsid w:val="00172723"/>
    <w:rsid w:val="001A49E5"/>
    <w:rsid w:val="002122B9"/>
    <w:rsid w:val="0025213C"/>
    <w:rsid w:val="002928C6"/>
    <w:rsid w:val="00316AEA"/>
    <w:rsid w:val="003209F6"/>
    <w:rsid w:val="0035424B"/>
    <w:rsid w:val="0041416B"/>
    <w:rsid w:val="00422384"/>
    <w:rsid w:val="00493623"/>
    <w:rsid w:val="004A293A"/>
    <w:rsid w:val="004B381C"/>
    <w:rsid w:val="005172B9"/>
    <w:rsid w:val="00535BCA"/>
    <w:rsid w:val="005A2189"/>
    <w:rsid w:val="005D02DA"/>
    <w:rsid w:val="005F3A42"/>
    <w:rsid w:val="00631F1B"/>
    <w:rsid w:val="00664B22"/>
    <w:rsid w:val="00683AB0"/>
    <w:rsid w:val="00684DEE"/>
    <w:rsid w:val="0076636B"/>
    <w:rsid w:val="00791CE0"/>
    <w:rsid w:val="007D05BD"/>
    <w:rsid w:val="007D66FD"/>
    <w:rsid w:val="00876169"/>
    <w:rsid w:val="008A50DC"/>
    <w:rsid w:val="008C3433"/>
    <w:rsid w:val="008E74F3"/>
    <w:rsid w:val="00906D59"/>
    <w:rsid w:val="00947270"/>
    <w:rsid w:val="009561EA"/>
    <w:rsid w:val="00A203AA"/>
    <w:rsid w:val="00A26F1A"/>
    <w:rsid w:val="00A71D23"/>
    <w:rsid w:val="00A751AF"/>
    <w:rsid w:val="00A90D97"/>
    <w:rsid w:val="00BA3872"/>
    <w:rsid w:val="00BA578E"/>
    <w:rsid w:val="00BC2EF6"/>
    <w:rsid w:val="00BD7BCE"/>
    <w:rsid w:val="00BE3144"/>
    <w:rsid w:val="00C40364"/>
    <w:rsid w:val="00C86A67"/>
    <w:rsid w:val="00C907CB"/>
    <w:rsid w:val="00CE7C53"/>
    <w:rsid w:val="00D43582"/>
    <w:rsid w:val="00DA0172"/>
    <w:rsid w:val="00DC3FCC"/>
    <w:rsid w:val="00E162DF"/>
    <w:rsid w:val="00E16E0A"/>
    <w:rsid w:val="00E31B5E"/>
    <w:rsid w:val="00E81F66"/>
    <w:rsid w:val="00E84F03"/>
    <w:rsid w:val="00EF68D8"/>
    <w:rsid w:val="00F04376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AF42A97-162A-4B96-B2B4-38E73959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72"/>
    <w:pPr>
      <w:spacing w:after="200" w:line="276" w:lineRule="auto"/>
    </w:pPr>
    <w:rPr>
      <w:rFonts w:cs="Times New Roman"/>
      <w:sz w:val="22"/>
      <w:szCs w:val="22"/>
      <w:lang w:val="uk-UA" w:eastAsia="en-US"/>
    </w:rPr>
  </w:style>
  <w:style w:type="paragraph" w:styleId="3">
    <w:name w:val="heading 3"/>
    <w:basedOn w:val="a"/>
    <w:next w:val="a"/>
    <w:link w:val="30"/>
    <w:uiPriority w:val="9"/>
    <w:qFormat/>
    <w:rsid w:val="005D02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5D02DA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CE7C53"/>
    <w:pPr>
      <w:spacing w:after="0" w:line="240" w:lineRule="auto"/>
      <w:ind w:firstLine="196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styleId="a4">
    <w:name w:val="Strong"/>
    <w:uiPriority w:val="22"/>
    <w:qFormat/>
    <w:rsid w:val="00CE7C53"/>
    <w:rPr>
      <w:rFonts w:cs="Times New Roman"/>
      <w:b/>
      <w:bCs/>
    </w:rPr>
  </w:style>
  <w:style w:type="table" w:styleId="a5">
    <w:name w:val="Table Grid"/>
    <w:basedOn w:val="a1"/>
    <w:uiPriority w:val="59"/>
    <w:rsid w:val="008E74F3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C4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0C48CF"/>
    <w:rPr>
      <w:rFonts w:cs="Times New Roman"/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0C4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0C48CF"/>
    <w:rPr>
      <w:rFonts w:cs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DEC4-7109-4DA0-A7C6-8FA2FAD9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 OLYA</Company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admin</cp:lastModifiedBy>
  <cp:revision>2</cp:revision>
  <cp:lastPrinted>2010-09-19T22:18:00Z</cp:lastPrinted>
  <dcterms:created xsi:type="dcterms:W3CDTF">2014-03-25T00:33:00Z</dcterms:created>
  <dcterms:modified xsi:type="dcterms:W3CDTF">2014-03-25T00:33:00Z</dcterms:modified>
</cp:coreProperties>
</file>