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15A" w:rsidRPr="009D5CF9" w:rsidRDefault="0046515A" w:rsidP="0046515A">
      <w:pPr>
        <w:spacing w:before="120"/>
        <w:jc w:val="center"/>
        <w:rPr>
          <w:b/>
          <w:bCs/>
          <w:sz w:val="32"/>
          <w:szCs w:val="32"/>
        </w:rPr>
      </w:pPr>
      <w:r w:rsidRPr="009D5CF9">
        <w:rPr>
          <w:b/>
          <w:bCs/>
          <w:sz w:val="32"/>
          <w:szCs w:val="32"/>
        </w:rPr>
        <w:t xml:space="preserve">Посткейнсианство  </w:t>
      </w:r>
    </w:p>
    <w:p w:rsidR="0046515A" w:rsidRPr="009D5CF9" w:rsidRDefault="0046515A" w:rsidP="0046515A">
      <w:pPr>
        <w:spacing w:before="120"/>
        <w:ind w:firstLine="567"/>
        <w:jc w:val="both"/>
        <w:rPr>
          <w:sz w:val="28"/>
          <w:szCs w:val="28"/>
        </w:rPr>
      </w:pPr>
      <w:r w:rsidRPr="009D5CF9">
        <w:rPr>
          <w:sz w:val="28"/>
          <w:szCs w:val="28"/>
        </w:rPr>
        <w:t xml:space="preserve">И. В. Розмаинский </w:t>
      </w:r>
    </w:p>
    <w:p w:rsidR="0046515A" w:rsidRDefault="0046515A" w:rsidP="0046515A">
      <w:pPr>
        <w:spacing w:before="120"/>
        <w:ind w:firstLine="567"/>
        <w:jc w:val="both"/>
      </w:pPr>
      <w:r w:rsidRPr="009D5CF9">
        <w:t xml:space="preserve">Основные представители: Хаймен Филип Мински (1919 - 1996), Пол Дэвидсон. Виктория Чик, Филип Эрестис, Лэрри Рэндалл Рэй </w:t>
      </w:r>
      <w:r>
        <w:t xml:space="preserve"> </w:t>
      </w:r>
    </w:p>
    <w:p w:rsidR="0046515A" w:rsidRDefault="0046515A" w:rsidP="0046515A">
      <w:pPr>
        <w:spacing w:before="120"/>
        <w:ind w:firstLine="567"/>
        <w:jc w:val="both"/>
      </w:pPr>
      <w:r w:rsidRPr="009D5CF9">
        <w:t>Основные работы: П. Дэвидсон «Деньги и реальный мир» [«Money and the Real World»] (1972); Х. Ф. Мински</w:t>
      </w:r>
      <w:r>
        <w:t xml:space="preserve"> </w:t>
      </w:r>
      <w:r w:rsidRPr="009D5CF9">
        <w:t xml:space="preserve">«Стабилизируя нестабильную экономику» [«Stabilizing an Unstable Economy»] (1986) </w:t>
      </w:r>
      <w:r>
        <w:t xml:space="preserve"> </w:t>
      </w:r>
    </w:p>
    <w:p w:rsidR="0046515A" w:rsidRPr="009D5CF9" w:rsidRDefault="0046515A" w:rsidP="0046515A">
      <w:pPr>
        <w:spacing w:before="120"/>
        <w:jc w:val="center"/>
        <w:rPr>
          <w:b/>
          <w:bCs/>
          <w:sz w:val="28"/>
          <w:szCs w:val="28"/>
        </w:rPr>
      </w:pPr>
      <w:r w:rsidRPr="009D5CF9">
        <w:rPr>
          <w:b/>
          <w:bCs/>
          <w:sz w:val="28"/>
          <w:szCs w:val="28"/>
        </w:rPr>
        <w:t xml:space="preserve">1. Теория «денежной экономики»  </w:t>
      </w:r>
    </w:p>
    <w:p w:rsidR="0046515A" w:rsidRPr="009D5CF9" w:rsidRDefault="0046515A" w:rsidP="0046515A">
      <w:pPr>
        <w:spacing w:before="120"/>
        <w:ind w:firstLine="567"/>
        <w:jc w:val="both"/>
      </w:pPr>
      <w:r w:rsidRPr="009D5CF9">
        <w:t>Основополагающим пунктом учения посткейнсианцев является теория «денежной экономики», начала которой, как известно, были заложены еще Дж.М.Кейнсом в 1933 г. (см. раздел 6.2.1)</w:t>
      </w:r>
      <w:r w:rsidRPr="009D5CF9">
        <w:footnoteReference w:id="1"/>
      </w:r>
      <w:r w:rsidRPr="009D5CF9">
        <w:t xml:space="preserve">[16]. Иными словами, посткейнсианцы развили идею основоположника макроэкономики, забытую при эволюции традиционного кейнсианства. Суть посткейнсианской теории денежной экономики, разработанной, прежде всего, усилиями П. Дэвидсона и Ф. Эрестиса, заключается в следующем. </w:t>
      </w:r>
    </w:p>
    <w:p w:rsidR="0046515A" w:rsidRPr="009D5CF9" w:rsidRDefault="0046515A" w:rsidP="0046515A">
      <w:pPr>
        <w:spacing w:before="120"/>
        <w:ind w:firstLine="567"/>
        <w:jc w:val="both"/>
      </w:pPr>
      <w:r w:rsidRPr="009D5CF9">
        <w:t xml:space="preserve">а) Рыночная экономика - это производственная экономика, и процесс производства в ней занимает длительный промежуток времени. Хозяйственная деятельность в такой экономике протекает во времени: рыночная экономика двигается от «неизменного и известного прошлого к неизвестному и неопределенному будущему». Иными словами, рыночная экономика реального мира движется в одном направлении (принцип «исторического времени»), а не в обоих направлениях, как это допускается, например, в модели общего равновесия Л.Вальраса (принцип «логического времени»). </w:t>
      </w:r>
    </w:p>
    <w:p w:rsidR="0046515A" w:rsidRPr="009D5CF9" w:rsidRDefault="0046515A" w:rsidP="0046515A">
      <w:pPr>
        <w:spacing w:before="120"/>
        <w:ind w:firstLine="567"/>
        <w:jc w:val="both"/>
      </w:pPr>
      <w:r w:rsidRPr="009D5CF9">
        <w:t>б) Для того, чтобы минимизировать неопределенность будущего, хозяйствующие субъекты создают определенные институты</w:t>
      </w:r>
      <w:r w:rsidRPr="009D5CF9">
        <w:footnoteReference w:id="2"/>
      </w:r>
      <w:r w:rsidRPr="009D5CF9">
        <w:t>[17], прежде всего, такие, как (форвардные</w:t>
      </w:r>
      <w:r w:rsidRPr="009D5CF9">
        <w:footnoteReference w:id="3"/>
      </w:r>
      <w:r w:rsidRPr="009D5CF9">
        <w:t xml:space="preserve">[18]) контракты и деньги. Форвардные контракты устраняют неопределенность в отношении будущих поставок и продаж, платежей и поступлений. Но для их нормального выполнения необходимо, во-первых, общепринятое средство их соизмерения, а, во-вторых, общепринятое средство их погашения. Актив, который используется для удовлетворения обеих потребностей, есть деньги. Иными словами, деньги, по мнению посткейнсианцев, имеют «контрактную природу». </w:t>
      </w:r>
    </w:p>
    <w:p w:rsidR="0046515A" w:rsidRPr="009D5CF9" w:rsidRDefault="0046515A" w:rsidP="0046515A">
      <w:pPr>
        <w:spacing w:before="120"/>
        <w:ind w:firstLine="567"/>
        <w:jc w:val="both"/>
      </w:pPr>
      <w:r w:rsidRPr="009D5CF9">
        <w:t>в) Поскольку деньги - единственное средство погашения контрактных обязательств, они наилучшим образом защищают экономических субъектов в периоды экономической нестабильности. Когда какой-либо индивид (или фирма) опасается того, что он не получит своих будущих доходов, то он, если его опасения сбываются, может оказаться в состоянии, когда он не сможет погасить свои договорные обязательства. В случае возникновения такого рода ожиданий обладание деньгами, выражаясь словами Дж. М. Кейнса, «заглушает его беспокойство». Таким образом, основным мотивом спроса на деньги является мотив предосторожности, то есть стремление защититься от возможных в неопределенном будущем финансово-экономических «неудач». Следует подчеркнуть, что в посткейнсианской теории, как и в теории Дж. М. Кейнса, деньги - это, прежде всего, актив, а не удобство (или средство его обеспечения), как у «классиков»</w:t>
      </w:r>
      <w:r w:rsidRPr="009D5CF9">
        <w:footnoteReference w:id="4"/>
      </w:r>
      <w:r w:rsidRPr="009D5CF9">
        <w:t xml:space="preserve">[19]. </w:t>
      </w:r>
    </w:p>
    <w:p w:rsidR="0046515A" w:rsidRDefault="0046515A" w:rsidP="0046515A">
      <w:pPr>
        <w:spacing w:before="120"/>
        <w:ind w:firstLine="567"/>
        <w:jc w:val="both"/>
      </w:pPr>
      <w:r w:rsidRPr="009D5CF9">
        <w:t>г) Контракты и деньги не устраняют неопределенность в рыночной экономике, а лишь уменьшают ее степень. Неопределенность связана главным образом с решениями в области реального (физического) инвестирования, а также - в несколько меньшей степени - в сфере формирования портфелей ценных бумаг. Реальные инвестиции в основной капитал очень часто приносят доход лишь в долгосрочной перспективе (7-20 лет и более). Поэтому для определения их доходности не имеет смысла использовать методы теории вероятностей (как это принято в неоклассической традиции), поскольку не известны ни количество доступных альтернатив (т. е. возможных вариантов получения доходов от вложения данных средств), ни вероятности успешного их осуществления. При этом уменьшение степени доверия собственным ожиданиям по поводу будущих событий, т. е. снижение «степени уверенности», может вызвать массовый отказ от осуществления реальных инвестиций, т. е. инвестиционный крах. К тому же элементы основного капитала, в отличие от денег, неликвидны - их невозможно быстро и без значительных затрат обменять на какой-либо другой актив в силу, прежде всего, высокой степени их специализации и высоких издержек</w:t>
      </w:r>
      <w:r>
        <w:t xml:space="preserve"> </w:t>
      </w:r>
      <w:r w:rsidRPr="009D5CF9">
        <w:t xml:space="preserve">их содержания. </w:t>
      </w:r>
      <w:r>
        <w:t xml:space="preserve"> </w:t>
      </w:r>
    </w:p>
    <w:p w:rsidR="0046515A" w:rsidRPr="009D5CF9" w:rsidRDefault="0046515A" w:rsidP="0046515A">
      <w:pPr>
        <w:spacing w:before="120"/>
        <w:jc w:val="center"/>
        <w:rPr>
          <w:b/>
          <w:bCs/>
          <w:sz w:val="28"/>
          <w:szCs w:val="28"/>
        </w:rPr>
      </w:pPr>
      <w:r w:rsidRPr="009D5CF9">
        <w:rPr>
          <w:b/>
          <w:bCs/>
          <w:sz w:val="28"/>
          <w:szCs w:val="28"/>
        </w:rPr>
        <w:t xml:space="preserve">2. Развитие теории выбора активов длительного пользования  </w:t>
      </w:r>
    </w:p>
    <w:p w:rsidR="0046515A" w:rsidRPr="009D5CF9" w:rsidRDefault="0046515A" w:rsidP="0046515A">
      <w:pPr>
        <w:spacing w:before="120"/>
        <w:ind w:firstLine="567"/>
        <w:jc w:val="both"/>
      </w:pPr>
      <w:r w:rsidRPr="009D5CF9">
        <w:t xml:space="preserve">Посткейнсианцы развили также предложенную Дж. М. Кейнсом (в главе 17 его «Общей теории») теорию выбора активов длительного пользования (см. раздел 6.2.7). При этом они, и в первую очередь, П. Дэвидсон, применили ее для анализа не долгосрочных тенденций хозяйственного развития (как это имело место у основоположника макроэкономики), а деловых циклов. </w:t>
      </w:r>
    </w:p>
    <w:p w:rsidR="0046515A" w:rsidRPr="009D5CF9" w:rsidRDefault="0046515A" w:rsidP="0046515A">
      <w:pPr>
        <w:spacing w:before="120"/>
        <w:ind w:firstLine="567"/>
        <w:jc w:val="both"/>
      </w:pPr>
      <w:r w:rsidRPr="009D5CF9">
        <w:t xml:space="preserve">Циклические колебания экономической активности (т. е. совокупного выпуска или реального национального дохода) порождаются, по мнению посткейнсианцев, изменениями в «выборе активов длительного пользования» - главным образом элементов основного капитала и высоколиквидных активов (денег и их заменителей). При прочих равных условиях увеличение спроса на капитальные блага (уменьшение спроса на деньги) приводит к подъему и буму в экономике, тогда как уменьшение спроса на капитальные блага (увеличение спроса на деньги) вызывает спад и депрессию. Выбор активов длительного пользования определяется, прежде всего, ожиданиями будущих доходов и степенью уверенности в этих ожиданиях. Именно эти психологические факторы влияют на q и l, являющиеся важнейшими составляющими доходности активов длительного пользования (см. раздел 6.2.7). Повышение степени оптимизма и/или уверенности приводит к увеличению q и снижению потребности в ликвидных активов, а значит, к уменьшению l. В экономике наступает стадия циклического оживления деловой активности. Противоположное воздействие оказывают распространение пессимистических настроений и/или неуверенность в будущем. </w:t>
      </w:r>
    </w:p>
    <w:p w:rsidR="0046515A" w:rsidRPr="009D5CF9" w:rsidRDefault="0046515A" w:rsidP="0046515A">
      <w:pPr>
        <w:spacing w:before="120"/>
        <w:ind w:firstLine="567"/>
        <w:jc w:val="both"/>
      </w:pPr>
      <w:r w:rsidRPr="009D5CF9">
        <w:t xml:space="preserve">При этом некоторые посткейнсианцы, и прежде всего, Л. Р. Рэй, отметили, что свойство нулевой эластичности производства денег «работает» только в мире товарных или бумажных денег. В экономике, где преобладают кредитные деньги, данное свойство в чистом виде не соблюдается (поскольку коммерческие банки могут увеличить предложение денег при повышении спроса на них), но сохраняется в модифицированной форме. Дело в том, что кредитные деньги характеризуются нулевой трудоемкостью: увеличение их предложения не связано с привлечением дополнительных трудовых ресурсов. </w:t>
      </w:r>
    </w:p>
    <w:p w:rsidR="0046515A" w:rsidRDefault="0046515A" w:rsidP="0046515A">
      <w:pPr>
        <w:spacing w:before="120"/>
        <w:ind w:firstLine="567"/>
        <w:jc w:val="both"/>
      </w:pPr>
      <w:r w:rsidRPr="009D5CF9">
        <w:t xml:space="preserve">Кроме того, как подчеркнул тот же Л. Р. Рэй, предложение кредитных денег является обратной функцией от предпочтения ликвидности коммерческих банков. Иными словами, когда потребность банков в ликвидности высока, они ограничивают предложение денег. Ясно, что предпочтение ликвидности будет большим именно в фазе спада. Поэтому в этой фазе предложение кредитных денег будет неэластично по спросу на них. </w:t>
      </w:r>
      <w:r>
        <w:t xml:space="preserve"> </w:t>
      </w:r>
    </w:p>
    <w:p w:rsidR="0046515A" w:rsidRPr="009D5CF9" w:rsidRDefault="0046515A" w:rsidP="0046515A">
      <w:pPr>
        <w:spacing w:before="120"/>
        <w:jc w:val="center"/>
        <w:rPr>
          <w:b/>
          <w:bCs/>
          <w:sz w:val="28"/>
          <w:szCs w:val="28"/>
        </w:rPr>
      </w:pPr>
      <w:r w:rsidRPr="009D5CF9">
        <w:rPr>
          <w:b/>
          <w:bCs/>
          <w:sz w:val="28"/>
          <w:szCs w:val="28"/>
        </w:rPr>
        <w:t xml:space="preserve">3. Теория эндогенной денежной массы  </w:t>
      </w:r>
    </w:p>
    <w:p w:rsidR="0046515A" w:rsidRPr="009D5CF9" w:rsidRDefault="0046515A" w:rsidP="0046515A">
      <w:pPr>
        <w:spacing w:before="120"/>
        <w:ind w:firstLine="567"/>
        <w:jc w:val="both"/>
      </w:pPr>
      <w:r w:rsidRPr="009D5CF9">
        <w:t xml:space="preserve">Посткейнсианцы - почти единственная макроэкономическая школа, отвергнувшая идею, согласно которой денежная масса определяется действиями сил, внешних по отношению к частному сектору, например, Центральным банком (идея экзогенности денежной массы). По мнению посткейнсианцев, предложение денег в современном рыночном хозяйстве формируется эндогенно, т. е. создается внутри экономики, за счет взаимодействий субъектов частного сектора, прежде всего, промышленных корпораций и коммерческих банков. </w:t>
      </w:r>
    </w:p>
    <w:p w:rsidR="0046515A" w:rsidRPr="009D5CF9" w:rsidRDefault="0046515A" w:rsidP="0046515A">
      <w:pPr>
        <w:spacing w:before="120"/>
        <w:ind w:firstLine="567"/>
        <w:jc w:val="both"/>
      </w:pPr>
      <w:r w:rsidRPr="009D5CF9">
        <w:t xml:space="preserve">С посткейнсианской точки зрения (эту теорию разрабатывали прежде всего Х. Ф. Мински и В. Чик), коммерческие банки, как и промышленные фирмы, стремятся к прибыли. Поэтому когда промышленный сектор предъявляет повышенный спрос на банковские ссуды, банки пытаются как можно более полно удовлетворить этот спрос. В том случае, если Центральный банк проводит жесткую денежную политику и пытается ограничить возможности коммерческих банков в области предоставления кредитов, последние пытаются уйти от таких ограничений посредством финансовых инноваций. Основными видами финансовых инноваций в экономике развитых стран за последнюю треть двадцатого века были следующие: </w:t>
      </w:r>
    </w:p>
    <w:p w:rsidR="0046515A" w:rsidRPr="009D5CF9" w:rsidRDefault="0046515A" w:rsidP="0046515A">
      <w:pPr>
        <w:spacing w:before="120"/>
        <w:ind w:firstLine="567"/>
        <w:jc w:val="both"/>
      </w:pPr>
      <w:r w:rsidRPr="009D5CF9">
        <w:t xml:space="preserve">а) употребление стратегии управляемых пассивов, при которой пассивы формируются (и тем самым, увеличиваются) самими банками путем займов на межбанковском рынке вкладов (тогда как обычно банковские пассивы создаются независимо от банков действиями вкладчиков); </w:t>
      </w:r>
    </w:p>
    <w:p w:rsidR="0046515A" w:rsidRPr="009D5CF9" w:rsidRDefault="0046515A" w:rsidP="0046515A">
      <w:pPr>
        <w:spacing w:before="120"/>
        <w:ind w:firstLine="567"/>
        <w:jc w:val="both"/>
      </w:pPr>
      <w:r w:rsidRPr="009D5CF9">
        <w:t xml:space="preserve">б) секьюритизация, представляющая собой конвертацию выданных банковских ссуд в ценные бумаги, что позволяет банками продать последние за деньги и выдать новые кредиты; </w:t>
      </w:r>
    </w:p>
    <w:p w:rsidR="0046515A" w:rsidRPr="009D5CF9" w:rsidRDefault="0046515A" w:rsidP="0046515A">
      <w:pPr>
        <w:spacing w:before="120"/>
        <w:ind w:firstLine="567"/>
        <w:jc w:val="both"/>
      </w:pPr>
      <w:r w:rsidRPr="009D5CF9">
        <w:t xml:space="preserve">в) кредитные линии между финансовыми учреждениями, являющиеся обязательством одного учреждения выдать кредит другому учреждению по первому требованию. </w:t>
      </w:r>
    </w:p>
    <w:p w:rsidR="0046515A" w:rsidRPr="009D5CF9" w:rsidRDefault="0046515A" w:rsidP="0046515A">
      <w:pPr>
        <w:spacing w:before="120"/>
        <w:ind w:firstLine="567"/>
        <w:jc w:val="both"/>
      </w:pPr>
      <w:r w:rsidRPr="009D5CF9">
        <w:t xml:space="preserve">Все это позволяет избавляться коммерческим банкам от ограничений Центрального банка и создавать деньги путем выдачи новых ссуд даже при отсутствии избыточных резервов (отсутствии, порожденным жесткой денежной политикой Центрального банка). </w:t>
      </w:r>
    </w:p>
    <w:p w:rsidR="0046515A" w:rsidRPr="009D5CF9" w:rsidRDefault="0046515A" w:rsidP="0046515A">
      <w:pPr>
        <w:spacing w:before="120"/>
        <w:ind w:firstLine="567"/>
        <w:jc w:val="both"/>
      </w:pPr>
      <w:r w:rsidRPr="009D5CF9">
        <w:t xml:space="preserve">Повышению степени эндогенности денежной массы способствует также политика Центрального банка как кредитора последней инстанции. Такая политика состоит в том, что Центральный банк выдает кредиты коммерческим банкам, оказавшимся под угрозой банкротства вследствие своей неплатежеспособности. </w:t>
      </w:r>
    </w:p>
    <w:p w:rsidR="0046515A" w:rsidRDefault="0046515A" w:rsidP="0046515A">
      <w:pPr>
        <w:spacing w:before="120"/>
        <w:ind w:firstLine="567"/>
        <w:jc w:val="both"/>
      </w:pPr>
      <w:r w:rsidRPr="009D5CF9">
        <w:t xml:space="preserve">Эндогенность денежной массы играет большую роль не только потому, что резко снижает эффективность денежной политики, но и потому, что увеличивает возможности промышленного сектора в долговом финансировании своих инвестиций. Это означает увеличение потенциальной амплитуды деловых циклов в экономике с эндогенными деньгами. Данное обстоятельство было учтено в одной из наиболее известных посткейнсианских теорий экономической динамики - «гипотезе финансовой нестабильности». </w:t>
      </w:r>
      <w:r>
        <w:t xml:space="preserve"> </w:t>
      </w:r>
    </w:p>
    <w:p w:rsidR="0046515A" w:rsidRPr="009D5CF9" w:rsidRDefault="0046515A" w:rsidP="0046515A">
      <w:pPr>
        <w:spacing w:before="120"/>
        <w:jc w:val="center"/>
        <w:rPr>
          <w:b/>
          <w:bCs/>
          <w:sz w:val="28"/>
          <w:szCs w:val="28"/>
        </w:rPr>
      </w:pPr>
      <w:r w:rsidRPr="009D5CF9">
        <w:rPr>
          <w:b/>
          <w:bCs/>
          <w:sz w:val="28"/>
          <w:szCs w:val="28"/>
        </w:rPr>
        <w:t xml:space="preserve">4. «Гипотеза финансовой нестабильности»  </w:t>
      </w:r>
    </w:p>
    <w:p w:rsidR="0046515A" w:rsidRPr="009D5CF9" w:rsidRDefault="0046515A" w:rsidP="0046515A">
      <w:pPr>
        <w:spacing w:before="120"/>
        <w:ind w:firstLine="567"/>
        <w:jc w:val="both"/>
      </w:pPr>
      <w:r w:rsidRPr="009D5CF9">
        <w:t>Суть этой концепции, разработанной Х.Ф. Мински, состоит в том, что «капиталистическая экономика порождает финансовую структуру, которая подвержена финансовым кризисам»</w:t>
      </w:r>
      <w:r w:rsidRPr="009D5CF9">
        <w:footnoteReference w:id="5"/>
      </w:r>
      <w:r w:rsidRPr="009D5CF9">
        <w:t>[20]. По мнению Х.Ф.Мински, экономическая динамика во многом определяется тем, как предпринимательский сектор финансирует свои инвестиции. Мински выделяет три типа финансирования: обеспеченное финансирование, спекулятивное финансирование и «Понци-финансирование». При обеспеченном финансировании текущие денежные поступления достаточны для регулярного погашения суммы долга и процентов по нему. При спекулятивном финансировании этих поступлений хватает только на уплату процентов, но их недостаточно для амортизации долга (то есть выплаты части основной суммы задолженности). Таким образом, для погашения своего долга предпринимательский сектор вынужден брать новые кредиты. Спекулятивное финансирование неизбежно, когда долгосрочные инвестиционные проекты финансируются за счет краткосрочных кредитов. Понци-финансирование</w:t>
      </w:r>
      <w:r w:rsidRPr="009D5CF9">
        <w:footnoteReference w:id="6"/>
      </w:r>
      <w:r w:rsidRPr="009D5CF9">
        <w:t xml:space="preserve">[21] состоит в том, что текущие денежные поступления не могут обеспечить даже выплату процентов. Это означает, что для периодического погашения кредитов предпринимательский сектор вынужден увеличивать свою задолженность. </w:t>
      </w:r>
    </w:p>
    <w:p w:rsidR="0046515A" w:rsidRPr="009D5CF9" w:rsidRDefault="0046515A" w:rsidP="0046515A">
      <w:pPr>
        <w:spacing w:before="120"/>
        <w:ind w:firstLine="567"/>
        <w:jc w:val="both"/>
      </w:pPr>
      <w:r w:rsidRPr="009D5CF9">
        <w:t>В начале повышательной фазы делового цикла в экономике преобладает обеспеченное финансирование. С дальнейшим оживлением деловой активности</w:t>
      </w:r>
      <w:r>
        <w:t xml:space="preserve"> </w:t>
      </w:r>
      <w:r w:rsidRPr="009D5CF9">
        <w:t xml:space="preserve">повышается степень уверенности у хозяйствующих субъектов, а также происходит уменьшение риска заемщика (нежелание фирмы брать в долги из-за опасения оказаться финансово несостоятельной) и риска заимодавца (нежелание банка давать в долг из-за опасения, что заемщик окажется не в состоянии его погасить). В результате фирмы переходят на спекулятивное финансирование. Здесь нужно учесть, что рост процентных ставок неизбежно трансформирует спекулятивное финансирование в Понци-финансирование. Все это увеличивает экономическую нестабильность и создает практически неотвратимую угрозу массовых банкротств, вызванных невозможностью погашения долгов, и экономического кризиса. Дело в том, что рано или поздно фирмы, применяющие Понци-финансирование, окажутся не в состоянии получить новые кредиты для погашения прежних долговых обязательств либо из-за падения степени уверенности банкиров, либо из-за общей нехватки финансовых ресурсов (денег и их заменителей) в экономике. Фирмы в подобных ситуациях очень часто прибегают к реализации своих капитальных активов, что приводит к падению цены (спроса) на капитальные блага, объема инвестиций и к экономическому краху. </w:t>
      </w:r>
    </w:p>
    <w:p w:rsidR="0046515A" w:rsidRDefault="0046515A" w:rsidP="0046515A">
      <w:pPr>
        <w:spacing w:before="120"/>
        <w:ind w:firstLine="567"/>
        <w:jc w:val="both"/>
      </w:pPr>
      <w:r w:rsidRPr="009D5CF9">
        <w:t xml:space="preserve">Таким образом, периодические экономические кризисы вызываются не только неблагоприятными изменениями степени уверенности хозяйствующих субъектов, но систематически возникающей неспособностью предпринимательского сектора к погашению своих долгов финансовому сектору. Таково резюме гипотезы финансовой нестабильности. Смягчению кризисов может способствовать правительство посредством проведения экспансионистской (стимулирующей) политики в фазе спада. Дело в том, что с помощью этой политики оно может косвенным образом вызвать увеличение денежных поступлений у должников, являющихся потенциальными банкротами. Тем самым правительство трансформирует «долговую дефляцию» в стагфляцию. По мнению Х.Ф.Мински, вторая из этих проблем гораздо менее серьезна, чем первая, поскольку «долговая дефляция» часто означает глубокий и длительный спад типа Великой депрессии 1929-1933 гг. </w:t>
      </w:r>
      <w:r>
        <w:t xml:space="preserve"> </w:t>
      </w:r>
    </w:p>
    <w:p w:rsidR="0046515A" w:rsidRPr="009D5CF9" w:rsidRDefault="0046515A" w:rsidP="0046515A">
      <w:pPr>
        <w:spacing w:before="120"/>
        <w:jc w:val="center"/>
        <w:rPr>
          <w:b/>
          <w:bCs/>
          <w:sz w:val="28"/>
          <w:szCs w:val="28"/>
        </w:rPr>
      </w:pPr>
      <w:r w:rsidRPr="009D5CF9">
        <w:rPr>
          <w:b/>
          <w:bCs/>
          <w:sz w:val="28"/>
          <w:szCs w:val="28"/>
        </w:rPr>
        <w:t xml:space="preserve">5. Отношение к макроэкономической политике государства  </w:t>
      </w:r>
    </w:p>
    <w:p w:rsidR="0046515A" w:rsidRDefault="0046515A" w:rsidP="0046515A">
      <w:pPr>
        <w:spacing w:before="120"/>
        <w:ind w:firstLine="567"/>
        <w:jc w:val="both"/>
      </w:pPr>
      <w:r w:rsidRPr="009D5CF9">
        <w:t xml:space="preserve">Итак, посткейнсианцы, как и адепты других кейнсианских школ, выступают за активное макроэкономическое вмешательство правительства в экономику. Отличие их подхода к роли государства состоит в подчеркивании важности того факта, что - как было отмечено в рамках «гипотезы финансовой нестабильности» - кризисы возникают вследствие неблагоприятной структуры финансовых потоков экономических субъектов. Поэтому фискальная и денежная политика должны быть направлены не столько на регулирование совокупного спроса как такового, сколько на обеспечение адекватной структуры и объема финансовых потоков. Вот почему важна не только фискальная политика как таковая, поддерживающая на должном уровне потоки прибыли промышленных компаний, но и деятельность Центрального банка как кредитора последней инстанции, поддерживающая финансовые поступления коммерческих банков. Отказ Центрального банка от осуществления такой деятельности и его переориентация на стабильность денежной массы (как это требуется монетаристами и новыми классиками) может привести к краху всей финансовой системы. </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15A" w:rsidRDefault="0046515A">
      <w:r>
        <w:separator/>
      </w:r>
    </w:p>
  </w:endnote>
  <w:endnote w:type="continuationSeparator" w:id="0">
    <w:p w:rsidR="0046515A" w:rsidRDefault="0046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15A" w:rsidRDefault="0046515A">
      <w:r>
        <w:separator/>
      </w:r>
    </w:p>
  </w:footnote>
  <w:footnote w:type="continuationSeparator" w:id="0">
    <w:p w:rsidR="0046515A" w:rsidRDefault="0046515A">
      <w:r>
        <w:continuationSeparator/>
      </w:r>
    </w:p>
  </w:footnote>
  <w:footnote w:id="1">
    <w:p w:rsidR="00D76C85" w:rsidRDefault="0046515A" w:rsidP="0046515A">
      <w:pPr>
        <w:pStyle w:val="a4"/>
        <w:jc w:val="both"/>
      </w:pPr>
      <w:r>
        <w:footnoteRef/>
      </w:r>
      <w:r>
        <w:t xml:space="preserve">[16] Похожая точка зрения по данному аспекту была высказана еще до Дж. М. Кейнса институционалистом У.К. Митчеллом (см. раздел 8.1.3). </w:t>
      </w:r>
    </w:p>
  </w:footnote>
  <w:footnote w:id="2">
    <w:p w:rsidR="00D76C85" w:rsidRDefault="0046515A" w:rsidP="0046515A">
      <w:pPr>
        <w:pStyle w:val="a4"/>
        <w:jc w:val="both"/>
      </w:pPr>
      <w:r>
        <w:footnoteRef/>
      </w:r>
      <w:r>
        <w:t>[17] Таким образом, посткейнсианство в значительной мере близко институционализму  (в его «старой» и «эволюционной» разновидностях, см. гл. 8.1 и раздел 8.2.2).</w:t>
      </w:r>
    </w:p>
  </w:footnote>
  <w:footnote w:id="3">
    <w:p w:rsidR="00D76C85" w:rsidRDefault="0046515A" w:rsidP="0046515A">
      <w:pPr>
        <w:pStyle w:val="a4"/>
        <w:jc w:val="both"/>
      </w:pPr>
      <w:r>
        <w:footnoteRef/>
      </w:r>
      <w:r>
        <w:t xml:space="preserve">[18]  Форвардный, или срочный, контракт - это контракт, согласно которому поставка приобретаемого или продаваемого по нему блага происходит не немедленно, а через известный срок (например, через три месяца), однако цена этого блага фиксируется на момент заключения контракта и остается неизменной в течение всего периода действия договора. </w:t>
      </w:r>
    </w:p>
  </w:footnote>
  <w:footnote w:id="4">
    <w:p w:rsidR="00D76C85" w:rsidRDefault="0046515A" w:rsidP="0046515A">
      <w:pPr>
        <w:pStyle w:val="a4"/>
        <w:jc w:val="both"/>
      </w:pPr>
      <w:r>
        <w:footnoteRef/>
      </w:r>
      <w:r w:rsidRPr="009D5CF9">
        <w:rPr>
          <w:lang w:val="en-US"/>
        </w:rPr>
        <w:t xml:space="preserve">[19] </w:t>
      </w:r>
      <w:r>
        <w:rPr>
          <w:lang w:val="en-US"/>
        </w:rPr>
        <w:t>Carvalho F. Mr. Keynes and the Post Keynesians. Principles of Macroeconomics for A Monetary Production Economy. Aldershot. 1992. P. 103.</w:t>
      </w:r>
      <w:r w:rsidRPr="009D5CF9">
        <w:rPr>
          <w:lang w:val="en-US"/>
        </w:rPr>
        <w:t xml:space="preserve"> </w:t>
      </w:r>
    </w:p>
  </w:footnote>
  <w:footnote w:id="5">
    <w:p w:rsidR="00D76C85" w:rsidRDefault="0046515A" w:rsidP="0046515A">
      <w:pPr>
        <w:pStyle w:val="a4"/>
        <w:jc w:val="both"/>
      </w:pPr>
      <w:r>
        <w:footnoteRef/>
      </w:r>
      <w:r w:rsidRPr="009D5CF9">
        <w:rPr>
          <w:rStyle w:val="a3"/>
          <w:lang w:val="en-US"/>
        </w:rPr>
        <w:t>[20]</w:t>
      </w:r>
      <w:r w:rsidRPr="009D5CF9">
        <w:rPr>
          <w:lang w:val="en-US"/>
        </w:rPr>
        <w:t xml:space="preserve"> </w:t>
      </w:r>
      <w:r>
        <w:rPr>
          <w:lang w:val="en-US"/>
        </w:rPr>
        <w:t xml:space="preserve">Minsky H.P. The Financial Instability Hypothesis: An Interpretation of Keynes and An Alternative to «Standard» Theory // Nebraska Journal of Economics and Business. </w:t>
      </w:r>
      <w:r w:rsidRPr="009D5CF9">
        <w:t xml:space="preserve">1978. </w:t>
      </w:r>
      <w:r>
        <w:rPr>
          <w:lang w:val="en-US"/>
        </w:rPr>
        <w:t>Vol</w:t>
      </w:r>
      <w:r w:rsidRPr="009D5CF9">
        <w:t xml:space="preserve">. 16. </w:t>
      </w:r>
      <w:r>
        <w:rPr>
          <w:lang w:val="en-US"/>
        </w:rPr>
        <w:t>N</w:t>
      </w:r>
      <w:r w:rsidRPr="009D5CF9">
        <w:t xml:space="preserve"> 1. </w:t>
      </w:r>
      <w:r>
        <w:rPr>
          <w:lang w:val="en-US"/>
        </w:rPr>
        <w:t>P</w:t>
      </w:r>
      <w:r w:rsidRPr="009D5CF9">
        <w:t xml:space="preserve">. 13. </w:t>
      </w:r>
      <w:r>
        <w:t>Под «финансовой структурой» здесь понимается структура активов и пассивов хозяйствующих субъектов.</w:t>
      </w:r>
    </w:p>
  </w:footnote>
  <w:footnote w:id="6">
    <w:p w:rsidR="00D76C85" w:rsidRDefault="0046515A" w:rsidP="0046515A">
      <w:pPr>
        <w:pStyle w:val="a4"/>
        <w:jc w:val="both"/>
      </w:pPr>
      <w:r>
        <w:footnoteRef/>
      </w:r>
      <w:r>
        <w:t xml:space="preserve">[21] Этот тип финансирования назван «в честь» бостонского банкира Чарльза Понци, который сразу после Первой мировой войны практиковал в Бостоне то,  что много десятилетий спустя стали осуществлять в постсоветской России финансовые компании типа МММ.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15A"/>
    <w:rsid w:val="0046515A"/>
    <w:rsid w:val="00616072"/>
    <w:rsid w:val="008B35EE"/>
    <w:rsid w:val="009D5CF9"/>
    <w:rsid w:val="00AB5842"/>
    <w:rsid w:val="00B42C45"/>
    <w:rsid w:val="00B47B6A"/>
    <w:rsid w:val="00D76C85"/>
    <w:rsid w:val="00F049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9BCA34-C8CC-4894-8882-96C1DEBF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15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rsid w:val="0046515A"/>
  </w:style>
  <w:style w:type="paragraph" w:styleId="a4">
    <w:name w:val="footnote text"/>
    <w:basedOn w:val="a"/>
    <w:link w:val="a5"/>
    <w:uiPriority w:val="99"/>
    <w:rsid w:val="0046515A"/>
    <w:pPr>
      <w:spacing w:before="100" w:beforeAutospacing="1" w:after="100" w:afterAutospacing="1"/>
    </w:pPr>
  </w:style>
  <w:style w:type="character" w:customStyle="1" w:styleId="a5">
    <w:name w:val="Текст сноски Знак"/>
    <w:basedOn w:val="a0"/>
    <w:link w:val="a4"/>
    <w:uiPriority w:val="99"/>
    <w:semiHidden/>
    <w:rPr>
      <w:sz w:val="20"/>
      <w:szCs w:val="20"/>
      <w:lang w:val="ru-RU" w:eastAsia="ru-RU"/>
    </w:rPr>
  </w:style>
  <w:style w:type="character" w:styleId="a6">
    <w:name w:val="Hyperlink"/>
    <w:basedOn w:val="a0"/>
    <w:uiPriority w:val="99"/>
    <w:rsid w:val="004651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8875</Words>
  <Characters>5060</Characters>
  <Application>Microsoft Office Word</Application>
  <DocSecurity>0</DocSecurity>
  <Lines>42</Lines>
  <Paragraphs>27</Paragraphs>
  <ScaleCrop>false</ScaleCrop>
  <Company>Home</Company>
  <LinksUpToDate>false</LinksUpToDate>
  <CharactersWithSpaces>13908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Посткейнсианство  </dc:title>
  <dc:subject/>
  <dc:creator>User</dc:creator>
  <cp:keywords/>
  <dc:description/>
  <cp:lastModifiedBy>admin</cp:lastModifiedBy>
  <cp:revision>2</cp:revision>
  <dcterms:created xsi:type="dcterms:W3CDTF">2014-01-25T10:35:00Z</dcterms:created>
  <dcterms:modified xsi:type="dcterms:W3CDTF">2014-01-25T10:35:00Z</dcterms:modified>
</cp:coreProperties>
</file>