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A9" w:rsidRDefault="000D76A9">
      <w:pPr>
        <w:widowControl w:val="0"/>
        <w:spacing w:before="120"/>
        <w:jc w:val="center"/>
        <w:rPr>
          <w:b/>
          <w:bCs/>
          <w:snapToGrid w:val="0"/>
          <w:color w:val="000000"/>
          <w:sz w:val="32"/>
          <w:szCs w:val="32"/>
          <w:lang w:val="en-US"/>
        </w:rPr>
      </w:pPr>
      <w:r>
        <w:rPr>
          <w:b/>
          <w:bCs/>
          <w:snapToGrid w:val="0"/>
          <w:color w:val="000000"/>
          <w:sz w:val="32"/>
          <w:szCs w:val="32"/>
          <w:lang w:val="en-US"/>
        </w:rPr>
        <w:t>Die Organisation des Bundestages</w:t>
      </w:r>
    </w:p>
    <w:p w:rsidR="000D76A9" w:rsidRDefault="000D76A9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en-US"/>
        </w:rPr>
      </w:pPr>
      <w:r>
        <w:rPr>
          <w:snapToGrid w:val="0"/>
          <w:color w:val="000000"/>
          <w:sz w:val="24"/>
          <w:szCs w:val="24"/>
          <w:lang w:val="en-US"/>
        </w:rPr>
        <w:t xml:space="preserve">Die wichtigsten Organe des Bundestages sind: das Bundestagsplenum, der Bundestagspräsident, der Ältestenrat, der Vorstand und die Ausschüsse. In den </w:t>
      </w:r>
      <w:r>
        <w:rPr>
          <w:noProof/>
          <w:snapToGrid w:val="0"/>
          <w:color w:val="000000"/>
          <w:sz w:val="24"/>
          <w:szCs w:val="24"/>
          <w:lang w:val="en-US"/>
        </w:rPr>
        <w:t>38</w:t>
      </w:r>
      <w:r>
        <w:rPr>
          <w:snapToGrid w:val="0"/>
          <w:color w:val="000000"/>
          <w:sz w:val="24"/>
          <w:szCs w:val="24"/>
          <w:lang w:val="en-US"/>
        </w:rPr>
        <w:t xml:space="preserve"> Fachausschüssen (auch ordentliche Ausschüsse) des Bundestages wird die eigentliche Gesetzgebungsarbeit geleistet. Sie bestehen aus</w:t>
      </w:r>
      <w:r>
        <w:rPr>
          <w:noProof/>
          <w:snapToGrid w:val="0"/>
          <w:color w:val="000000"/>
          <w:sz w:val="24"/>
          <w:szCs w:val="24"/>
          <w:lang w:val="en-US"/>
        </w:rPr>
        <w:t xml:space="preserve"> 15,21</w:t>
      </w:r>
      <w:r>
        <w:rPr>
          <w:snapToGrid w:val="0"/>
          <w:color w:val="000000"/>
          <w:sz w:val="24"/>
          <w:szCs w:val="24"/>
          <w:lang w:val="en-US"/>
        </w:rPr>
        <w:t xml:space="preserve"> oder</w:t>
      </w:r>
      <w:r>
        <w:rPr>
          <w:noProof/>
          <w:snapToGrid w:val="0"/>
          <w:color w:val="000000"/>
          <w:sz w:val="24"/>
          <w:szCs w:val="24"/>
          <w:lang w:val="en-US"/>
        </w:rPr>
        <w:t xml:space="preserve"> 31</w:t>
      </w:r>
      <w:r>
        <w:rPr>
          <w:snapToGrid w:val="0"/>
          <w:color w:val="000000"/>
          <w:sz w:val="24"/>
          <w:szCs w:val="24"/>
          <w:lang w:val="en-US"/>
        </w:rPr>
        <w:t xml:space="preserve"> Abge</w:t>
      </w:r>
      <w:r>
        <w:rPr>
          <w:snapToGrid w:val="0"/>
          <w:color w:val="000000"/>
          <w:sz w:val="24"/>
          <w:szCs w:val="24"/>
          <w:lang w:val="en-US"/>
        </w:rPr>
        <w:softHyphen/>
        <w:t>ordneten je nach Bedeutung des Ausschusses. Die Fraktionen entsenden ihre besten Fachleute in die einzemen Ausschüsse nach ihrer Stärke, die den Mehrheitsverhältnissen im Plenum entsprechen soll. Außerordentliche Ausschüsse sind: der Untersuchungsausschuß, der Richterwahlausschuß und der Vermittlungsausschuß. Der Untersuchungsausschuß muß auf Antrag eines Viertels der Abgeord</w:t>
      </w:r>
      <w:r>
        <w:rPr>
          <w:snapToGrid w:val="0"/>
          <w:color w:val="000000"/>
          <w:sz w:val="24"/>
          <w:szCs w:val="24"/>
          <w:lang w:val="en-US"/>
        </w:rPr>
        <w:softHyphen/>
        <w:t>neten vom Bundestag eingesetztwerden, urn z.B. Korruptionsfälle usw. zu untersuchen.</w:t>
      </w:r>
    </w:p>
    <w:p w:rsidR="000D76A9" w:rsidRDefault="000D76A9">
      <w:pPr>
        <w:widowControl w:val="0"/>
        <w:spacing w:before="120"/>
        <w:jc w:val="center"/>
        <w:rPr>
          <w:b/>
          <w:bCs/>
          <w:snapToGrid w:val="0"/>
          <w:color w:val="000000"/>
          <w:sz w:val="28"/>
          <w:szCs w:val="28"/>
          <w:lang w:val="en-US"/>
        </w:rPr>
      </w:pPr>
      <w:r>
        <w:rPr>
          <w:b/>
          <w:bCs/>
          <w:snapToGrid w:val="0"/>
          <w:color w:val="000000"/>
          <w:sz w:val="28"/>
          <w:szCs w:val="28"/>
          <w:lang w:val="en-US"/>
        </w:rPr>
        <w:t>Ausschüsse</w:t>
      </w:r>
    </w:p>
    <w:p w:rsidR="000D76A9" w:rsidRDefault="000D76A9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en-US"/>
        </w:rPr>
      </w:pPr>
      <w:r>
        <w:rPr>
          <w:snapToGrid w:val="0"/>
          <w:color w:val="000000"/>
          <w:sz w:val="24"/>
          <w:szCs w:val="24"/>
          <w:lang w:val="en-US"/>
        </w:rPr>
        <w:t>Der Bundestag bildet zur Vorbereitung der Plenarentscheidungen Aus</w:t>
      </w:r>
      <w:r>
        <w:rPr>
          <w:snapToGrid w:val="0"/>
          <w:color w:val="000000"/>
          <w:sz w:val="24"/>
          <w:szCs w:val="24"/>
          <w:lang w:val="en-US"/>
        </w:rPr>
        <w:softHyphen/>
        <w:t>schüsse für verschiedene Sachgebiete oder, wie im Falle der Untersuchungsausschüsse, für konkrete Aufgaben. Bestimmte Ausschüsse müssen gebildet werden („obligatorische" Ausschüsse), so der Ausschuß für auswärtige Angelegenheiten und der Verteidigungsausschuß. (Art.</w:t>
      </w:r>
      <w:r>
        <w:rPr>
          <w:noProof/>
          <w:snapToGrid w:val="0"/>
          <w:color w:val="000000"/>
          <w:sz w:val="24"/>
          <w:szCs w:val="24"/>
          <w:lang w:val="en-US"/>
        </w:rPr>
        <w:t xml:space="preserve"> 45</w:t>
      </w:r>
      <w:r>
        <w:rPr>
          <w:snapToGrid w:val="0"/>
          <w:color w:val="000000"/>
          <w:sz w:val="24"/>
          <w:szCs w:val="24"/>
          <w:lang w:val="en-US"/>
        </w:rPr>
        <w:t xml:space="preserve"> GG). Der Verteidigungsausschuß dient auch der parlamentarischen Wehrkontrolle. Die Bildung anderer Ausschüsse steht im Ermessen des Bundestages („fakultative" Ausschüsse). Zu den fakultativen Ausschüssen zahlen die Untersuchungsausschüsse (Art.</w:t>
      </w:r>
      <w:r>
        <w:rPr>
          <w:noProof/>
          <w:snapToGrid w:val="0"/>
          <w:color w:val="000000"/>
          <w:sz w:val="24"/>
          <w:szCs w:val="24"/>
          <w:lang w:val="en-US"/>
        </w:rPr>
        <w:t xml:space="preserve"> 44</w:t>
      </w:r>
      <w:r>
        <w:rPr>
          <w:snapToGrid w:val="0"/>
          <w:color w:val="000000"/>
          <w:sz w:val="24"/>
          <w:szCs w:val="24"/>
          <w:lang w:val="en-US"/>
        </w:rPr>
        <w:t xml:space="preserve"> GG). Ihre Aufgaben können sein: die Beschaffung von Sachinformationen zur Vorberei</w:t>
      </w:r>
      <w:r>
        <w:rPr>
          <w:snapToGrid w:val="0"/>
          <w:color w:val="000000"/>
          <w:sz w:val="24"/>
          <w:szCs w:val="24"/>
          <w:lang w:val="en-US"/>
        </w:rPr>
        <w:softHyphen/>
        <w:t>tung einer Gesetzinitiative des Bundestags, femer Untersuchungen, die der Wahrung des Ansehens des Bundestags dienen, und schließlich Ermittlungen zum Zweck der parlamentarischen Kontrolle gegenüber der Exekutive. Die Untersu</w:t>
      </w:r>
      <w:r>
        <w:rPr>
          <w:snapToGrid w:val="0"/>
          <w:color w:val="000000"/>
          <w:sz w:val="24"/>
          <w:szCs w:val="24"/>
          <w:lang w:val="en-US"/>
        </w:rPr>
        <w:softHyphen/>
        <w:t>chungsausschüsse können keine Urteile fällen, keine Strafen verhangen, auch keinem Abgeordneten das Mandat aberkennen. Sie können nur Sachverhalte feststellen.</w:t>
      </w:r>
    </w:p>
    <w:p w:rsidR="000D76A9" w:rsidRDefault="000D76A9">
      <w:pPr>
        <w:widowControl w:val="0"/>
        <w:spacing w:before="120"/>
        <w:ind w:firstLine="590"/>
        <w:jc w:val="both"/>
        <w:rPr>
          <w:snapToGrid w:val="0"/>
          <w:color w:val="000000"/>
          <w:sz w:val="24"/>
          <w:szCs w:val="24"/>
        </w:rPr>
      </w:pPr>
      <w:bookmarkStart w:id="0" w:name="_GoBack"/>
      <w:bookmarkEnd w:id="0"/>
    </w:p>
    <w:sectPr w:rsidR="000D76A9">
      <w:pgSz w:w="11906" w:h="16838" w:code="9"/>
      <w:pgMar w:top="1134" w:right="1134" w:bottom="1134" w:left="1134" w:header="1440" w:footer="1440" w:gutter="0"/>
      <w:cols w:space="709"/>
      <w:noEndnote/>
      <w:docGrid w:linePitch="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D42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82029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43C4F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69E29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9AA18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B3300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3F33B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80307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9A51E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3FB379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424346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47D213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13935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276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D4857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6D301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5441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16"/>
  </w:num>
  <w:num w:numId="7">
    <w:abstractNumId w:val="13"/>
  </w:num>
  <w:num w:numId="8">
    <w:abstractNumId w:val="8"/>
  </w:num>
  <w:num w:numId="9">
    <w:abstractNumId w:val="12"/>
  </w:num>
  <w:num w:numId="10">
    <w:abstractNumId w:val="10"/>
  </w:num>
  <w:num w:numId="11">
    <w:abstractNumId w:val="2"/>
  </w:num>
  <w:num w:numId="12">
    <w:abstractNumId w:val="4"/>
  </w:num>
  <w:num w:numId="13">
    <w:abstractNumId w:val="6"/>
  </w:num>
  <w:num w:numId="14">
    <w:abstractNumId w:val="14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AF6"/>
    <w:rsid w:val="000D76A9"/>
    <w:rsid w:val="00157AF6"/>
    <w:rsid w:val="0048583E"/>
    <w:rsid w:val="0069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B5CA6E3-204C-46DD-A2A2-065E082D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next w:val="a"/>
    <w:uiPriority w:val="99"/>
    <w:pPr>
      <w:autoSpaceDE w:val="0"/>
      <w:autoSpaceDN w:val="0"/>
    </w:pPr>
    <w:rPr>
      <w:rFonts w:ascii="Times New Roman" w:hAnsi="Times New Roman"/>
      <w:noProof/>
      <w:lang w:val="en-US" w:eastAsia="ru-RU"/>
    </w:rPr>
  </w:style>
  <w:style w:type="paragraph" w:customStyle="1" w:styleId="2">
    <w:name w:val="заголовок 2"/>
    <w:next w:val="a"/>
    <w:uiPriority w:val="99"/>
    <w:pPr>
      <w:autoSpaceDE w:val="0"/>
      <w:autoSpaceDN w:val="0"/>
    </w:pPr>
    <w:rPr>
      <w:rFonts w:ascii="Times New Roman" w:hAnsi="Times New Roman"/>
      <w:noProof/>
      <w:lang w:val="en-US" w:eastAsia="ru-RU"/>
    </w:rPr>
  </w:style>
  <w:style w:type="paragraph" w:customStyle="1" w:styleId="3">
    <w:name w:val="заголовок 3"/>
    <w:next w:val="a"/>
    <w:uiPriority w:val="99"/>
    <w:pPr>
      <w:autoSpaceDE w:val="0"/>
      <w:autoSpaceDN w:val="0"/>
    </w:pPr>
    <w:rPr>
      <w:rFonts w:ascii="Times New Roman" w:hAnsi="Times New Roman"/>
      <w:noProof/>
      <w:lang w:val="en-US" w:eastAsia="ru-RU"/>
    </w:rPr>
  </w:style>
  <w:style w:type="paragraph" w:customStyle="1" w:styleId="4">
    <w:name w:val="заголовок 4"/>
    <w:next w:val="a"/>
    <w:uiPriority w:val="99"/>
    <w:pPr>
      <w:autoSpaceDE w:val="0"/>
      <w:autoSpaceDN w:val="0"/>
    </w:pPr>
    <w:rPr>
      <w:rFonts w:ascii="Times New Roman" w:hAnsi="Times New Roman"/>
      <w:noProof/>
      <w:lang w:val="en-US" w:eastAsia="ru-RU"/>
    </w:rPr>
  </w:style>
  <w:style w:type="paragraph" w:customStyle="1" w:styleId="5">
    <w:name w:val="заголовок 5"/>
    <w:next w:val="a"/>
    <w:uiPriority w:val="99"/>
    <w:pPr>
      <w:autoSpaceDE w:val="0"/>
      <w:autoSpaceDN w:val="0"/>
    </w:pPr>
    <w:rPr>
      <w:rFonts w:ascii="Times New Roman" w:hAnsi="Times New Roman"/>
      <w:noProof/>
      <w:lang w:val="en-US" w:eastAsia="ru-RU"/>
    </w:rPr>
  </w:style>
  <w:style w:type="paragraph" w:customStyle="1" w:styleId="6">
    <w:name w:val="заголовок 6"/>
    <w:next w:val="a"/>
    <w:uiPriority w:val="99"/>
    <w:pPr>
      <w:autoSpaceDE w:val="0"/>
      <w:autoSpaceDN w:val="0"/>
    </w:pPr>
    <w:rPr>
      <w:rFonts w:ascii="Times New Roman" w:hAnsi="Times New Roman"/>
      <w:noProof/>
      <w:lang w:val="en-US" w:eastAsia="ru-RU"/>
    </w:rPr>
  </w:style>
  <w:style w:type="paragraph" w:customStyle="1" w:styleId="7">
    <w:name w:val="заголовок 7"/>
    <w:next w:val="a"/>
    <w:uiPriority w:val="99"/>
    <w:pPr>
      <w:autoSpaceDE w:val="0"/>
      <w:autoSpaceDN w:val="0"/>
    </w:pPr>
    <w:rPr>
      <w:rFonts w:ascii="Times New Roman" w:hAnsi="Times New Roman"/>
      <w:noProof/>
      <w:lang w:val="en-US" w:eastAsia="ru-RU"/>
    </w:rPr>
  </w:style>
  <w:style w:type="paragraph" w:customStyle="1" w:styleId="8">
    <w:name w:val="заголовок 8"/>
    <w:next w:val="a"/>
    <w:uiPriority w:val="99"/>
    <w:pPr>
      <w:autoSpaceDE w:val="0"/>
      <w:autoSpaceDN w:val="0"/>
    </w:pPr>
    <w:rPr>
      <w:rFonts w:ascii="Times New Roman" w:hAnsi="Times New Roman"/>
      <w:noProof/>
      <w:lang w:val="en-US" w:eastAsia="ru-RU"/>
    </w:rPr>
  </w:style>
  <w:style w:type="paragraph" w:customStyle="1" w:styleId="9">
    <w:name w:val="заголовок 9"/>
    <w:next w:val="a"/>
    <w:uiPriority w:val="99"/>
    <w:pPr>
      <w:autoSpaceDE w:val="0"/>
      <w:autoSpaceDN w:val="0"/>
    </w:pPr>
    <w:rPr>
      <w:rFonts w:ascii="Times New Roman" w:hAnsi="Times New Roman"/>
      <w:noProof/>
      <w:lang w:val="en-US" w:eastAsia="ru-RU"/>
    </w:rPr>
  </w:style>
  <w:style w:type="character" w:customStyle="1" w:styleId="a3">
    <w:name w:val="Основной шрифт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spacing w:before="100" w:line="260" w:lineRule="auto"/>
      <w:ind w:left="1000" w:right="800" w:hanging="920"/>
    </w:pPr>
    <w:rPr>
      <w:rFonts w:ascii="Arial" w:hAnsi="Arial" w:cs="Arial"/>
      <w:b/>
      <w:bCs/>
      <w:i/>
      <w:iCs/>
      <w:sz w:val="18"/>
      <w:szCs w:val="18"/>
      <w:lang w:val="en-US" w:eastAsia="ru-RU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Die Organisation des Bundestages</vt:lpstr>
    </vt:vector>
  </TitlesOfParts>
  <Company>PERSONAL COMPUTERS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Organisation des Bundestages</dc:title>
  <dc:subject/>
  <dc:creator>USER</dc:creator>
  <cp:keywords/>
  <dc:description/>
  <cp:lastModifiedBy>admin</cp:lastModifiedBy>
  <cp:revision>2</cp:revision>
  <dcterms:created xsi:type="dcterms:W3CDTF">2014-01-26T10:02:00Z</dcterms:created>
  <dcterms:modified xsi:type="dcterms:W3CDTF">2014-01-26T10:02:00Z</dcterms:modified>
</cp:coreProperties>
</file>