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EB" w:rsidRDefault="00A833B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Оплодотворение, имплантация, плацентация. Эмбрио- и органогенез.</w:t>
      </w:r>
    </w:p>
    <w:p w:rsidR="006E14EB" w:rsidRDefault="00A833B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Функция плаценты, плодных оболочек.</w:t>
      </w:r>
    </w:p>
    <w:p w:rsidR="006E14EB" w:rsidRDefault="00A833B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Морфологические и физиологические особенности плода </w:t>
      </w:r>
    </w:p>
    <w:p w:rsidR="006E14EB" w:rsidRDefault="00A833B7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 различные периоды внутриутробной жизни. Биофизический профиль плода</w:t>
      </w:r>
    </w:p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Оплодотворение происходит в ампулярном отделе трубы после процессов капацитации сперматозоидов - утраты поверхностных гликопротеиновых антигенов головки сперматозоида и его активации. Капацитация происходит во влагалище, матке, трубах по мере продвижения сперматозоидов.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Необходимым условием оплодотворения является синхронность гаметогенеза и овуляции. Время между овуляцией и оплодотворением у женщин колеблется в пределах 12-24 часов. Из 100 проовулировавших яйцеклеток 15 не оплодотворяются (физиологическая презиготная элиминация).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Статистический анализ родов в странах США, Западной Европы и Австралии показал, что имеются характерные кривые рождаемости с широким пиком в зимние месяцы, небольшой подъем летом и снижение весной и осенью. А зачатие чаще наступает весной и осенью, зимой и летом чаще наблюдаются ановуляторные и гиполютеиновые циклы. Сезонное варьирование частоты некоторых видов врожденной патологии у человека объясняется дисинхронизацией овуляции и процесса созревания ооцита при переходе от ановуляторных циклов к овуляторным циклам в период смены сезонов года (Никитин А.И. Старение гамет и врожденная патология // Акушерство и гинекология. - 1981. - №№ 3, 6-9).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Ритм гаметогенеза и овуляции определяется продолжительностью световой стимуляции. В г.Архангельске минимальный световой день составляет 3 часа 51 минуту (22 декабря), максимальный - 21 час 21 минуту (22 июня). Опосредованное действие света через эпифиз обуславливает в 80-85% появление менархе в первом квартале года.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И беременность наиболее благоприятно протекает при зачатии с возрастающей продолжительностью светового дня от 7 до 14 часов (10 февраля - 15 апреля) или убывающей продолжительностью светового дня с 14 до 7 часов (15 августа - 15 ноября). При этом для первородящих женщин в возрасте до 24 лет оптимальным периодом зачатия является первый пик плодовитости, что соответствует менархе по сезону - кумуляция фертильности. Для женщин старше 28 лет более оптимален второй сезонный пик фертильности.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При зачатии в благоприятные периоды плодовитости частота таких осложнений беременности как невынашивание, ранние и поздние токсикозы снижается в 2-2,5 раза.</w:t>
      </w:r>
    </w:p>
    <w:p w:rsidR="006E14EB" w:rsidRDefault="006E14E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Критические периоды развития беременности</w:t>
      </w:r>
    </w:p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07"/>
        <w:gridCol w:w="3207"/>
        <w:gridCol w:w="3207"/>
      </w:tblGrid>
      <w:tr w:rsidR="006E14EB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Оплодотворение (40 час.)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Эмбриогенез (до 9 недель):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зигота-морула</w:t>
            </w:r>
          </w:p>
        </w:tc>
      </w:tr>
      <w:tr w:rsidR="006E14EB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имплантация (1-2 недели)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6E14E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бластула</w:t>
            </w:r>
          </w:p>
        </w:tc>
      </w:tr>
      <w:tr w:rsidR="006E14EB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плацентация (3-6 - 12-14 недель)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Гистоорганогенез (до 12-14 нед.)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6E14E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4EB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6E14E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фетогенез: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функциогенез (до 18-24 недель)</w:t>
            </w:r>
          </w:p>
        </w:tc>
      </w:tr>
      <w:tr w:rsidR="006E14EB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6E14E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6E14E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интенсивный рост плода системогенез (до 37 недель)</w:t>
            </w:r>
          </w:p>
        </w:tc>
      </w:tr>
      <w:tr w:rsidR="006E14EB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6E14E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6E14E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роды</w:t>
            </w:r>
          </w:p>
        </w:tc>
      </w:tr>
    </w:tbl>
    <w:p w:rsidR="006E14EB" w:rsidRDefault="006E14E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До 50% зигот погибает на ранних стадиях развития и около 20% диагносцируемых беременностей заканчиваются спонтанным выкидышем, при чем более половины из них обусловлены летальными аномалиями хромосом.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Искусственное прерывание беременности вызывает внезапную и принципиально отличную от спонтанного аборта реакцию. Поэтому после искусственного аборта повышается частота внутриутробной гибели зародышей в основном мужского пола при последующих беременностях.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Процессы имплантации, плацентации зависят от децидуальной реакции эндометрия. Активная функция плаценты формируется к 14-16 неделе, к концу беременности контактная площадь ворсин плаценты составляет 8-12 м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Плацента - это функциональное сердце беременности. Общий кровоток в межворсинчатом пространстве составляет 500-600 мл/мин. Циркуляция крови в межворсинчатом пространстве происходит замедленно при низком давлении (10 мм рт.ст.), благодаря чему осуществляется эффективный обмен веществ, и венозная кровь через краевой синус сбрасывается в вены матки. Плацента осуществляет функцию внешнего дыхания, выделительную, питательную, синтеза плодоых белков, депонирующую, внутрисекреторную (синтз хорионического гонадотропина, половых стероидных гормонов, релаксина, плацентарного лактогена, трофобластического 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62"/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-гликопротеина - ТБГ, 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61"/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-микроглобулина фертильности - АМГФ, плацентарного - 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61"/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микроглобулина - ПАМГ-1).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Альфа-фетопротеин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(АФП) - эмбриоспецифический белок в амниотической жидкости, увеличение его наблюдается при аномалиях развития нервной трубки, врожденном нефрозе, тератомах, гастроинтестинальных атрезиях, синдромах Турнера, Дауна, Меккеля, тетраде Фалло и др., а также при внутриутробной гибели плода.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Трофобластический бета-глобулин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(ТБГ) появляется с конца первой недели беременности (возможность ранней диагностики), нарастает по мере увеличения беременности. Снижение его наблюдается при неразвивающейся беременности, среднетяжелых и тяжелых гестозах и невынашивании беременности.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Плацентарный лактоген человека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(ПЛЧ) начинает определяться с 18-20 недели беременности. Уровень его снижается при гестозах, угрозе прерывания беременности, внутриутробной гипотрофии плода. Низкое его содержание перед родами прогнозирует осложнения в родах и послеродовом периоде, инстранатальную асфиксию плода.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Альфа-2-микроглобулин фертильности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(АМГФ) секретируется в амниотическую жидкость. Специфичен вне беременности для овуляции с максимальным нарастанием к концу цикла.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Плацентарный альфа-1-микроглобулин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(ПАМГ-1) содержится в амниотической жидкости, снижается по мере развития беременности. Имеет отношение к процессам регуляции роста плода. При гестозах, угрозе прерывания беременности, гипотрофии происходит значительное увеличение сывороточной концентрации ПАМГ-1.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Плацента обеспечивает иммунную защиту зародыща и плода, фиксируя антитела и снижая лкеточный и тканевый иммунитет матери, ее гистагематический барьер регулирует проникновение веществ от матери к плоду и обратно.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Индекс проницаемости плаценты для лекарственных веществ в среднем составляет 50%, с широкими колебаниями от 10 до 90-100%.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Существует и параплацентарный обмен, обусловленный активной функцией децидуальной, амниотической и хориальной оболочек. Ооклоплодные воды образуются эпителием амниона, и среднесуточный обмен их составляет 12-15 литров. В амнионе и хорионе содержатся ферменты азотного, углеводного и липидного обменов, РНК, гликоген, мукополисахариды, протеины и аминокислоты. Через амнион и хорион свободно проходят глюкоза, мочевина, калий, натрий, кальций.</w:t>
      </w:r>
    </w:p>
    <w:p w:rsidR="006E14EB" w:rsidRDefault="006E14E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Показатели физического развития плода в зависимости от срока беременности</w:t>
      </w:r>
    </w:p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3207"/>
        <w:gridCol w:w="3207"/>
      </w:tblGrid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беременности, нед.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 плода, г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плода, см</w:t>
            </w:r>
          </w:p>
        </w:tc>
      </w:tr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</w:t>
            </w:r>
          </w:p>
        </w:tc>
      </w:tr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300-320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24-26</w:t>
            </w:r>
          </w:p>
        </w:tc>
      </w:tr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500-600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28-31</w:t>
            </w:r>
          </w:p>
        </w:tc>
      </w:tr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1600-1800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40-42</w:t>
            </w:r>
          </w:p>
        </w:tc>
      </w:tr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2500-2750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45-48</w:t>
            </w:r>
          </w:p>
        </w:tc>
      </w:tr>
      <w:tr w:rsidR="006E14EB"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</w:t>
            </w:r>
          </w:p>
        </w:tc>
        <w:tc>
          <w:tcPr>
            <w:tcW w:w="3207" w:type="dxa"/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</w:tbl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 10 лунных месяцев происходит увеличение массы плода по сравнению с массой зиготы в 6 </w:t>
      </w:r>
      <w:r>
        <w:rPr>
          <w:rFonts w:ascii="Times New Roman" w:hAnsi="Times New Roman" w:cs="Times New Roman"/>
          <w:sz w:val="24"/>
          <w:szCs w:val="24"/>
          <w:lang w:val="ru-RU"/>
        </w:rPr>
        <w:sym w:font="Symbol" w:char="F0B4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раз.</w:t>
      </w:r>
    </w:p>
    <w:p w:rsidR="006E14EB" w:rsidRDefault="006E14E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Совокупные признаки зрелости плода</w:t>
      </w:r>
    </w:p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Рост 48-50 см, масса 3200-3500 г.</w:t>
      </w:r>
    </w:p>
    <w:p w:rsidR="006E14EB" w:rsidRDefault="00A833B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Грудь выпуклая, пупочное кольцо между лоном и пупком.</w:t>
      </w:r>
    </w:p>
    <w:p w:rsidR="006E14EB" w:rsidRDefault="00A833B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Кожа бледнорозовая, гладкая, гладкая, выражен подкожный слой, остатки сыровидной смазки в кожных складках, пушковый волос на плечиках и верхней части спины, ногти заходят за кончики пальцев, волосы на голове до 2 см.</w:t>
      </w:r>
    </w:p>
    <w:p w:rsidR="006E14EB" w:rsidRDefault="00A833B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Ушные и носовые хрящи упругие.</w:t>
      </w:r>
    </w:p>
    <w:p w:rsidR="006E14EB" w:rsidRDefault="00A833B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Яички - в мошонке, клитор и малые половые губы прикрыты большими.</w:t>
      </w:r>
    </w:p>
    <w:p w:rsidR="006E14EB" w:rsidRDefault="00A833B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Движения активные, глаза открыты, крик громкий, хорошо берет грудь.</w:t>
      </w:r>
    </w:p>
    <w:p w:rsidR="006E14EB" w:rsidRDefault="006E14E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Принципы системного подхода к изучению взаимоотношений матери и плода</w:t>
      </w:r>
    </w:p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Плодово-материнские взаимоотношения протекают в неразрывном единстве, при этом не столько плод приспосабливается к своей внешней среде (матери), сколько сама внешняя среда целенаправленно перестраивается для оптимального осуществления условий, способных обеспечить наиболее полную реализацию генетических возможностей. Формируется функциональная система мать-плацента-плод.</w:t>
      </w:r>
    </w:p>
    <w:p w:rsidR="006E14EB" w:rsidRDefault="00A833B7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Системогенез - избирательное развитие в эмбриогенезе различных по функции и локализации структур, которые, объединяясь, образуют функциональные системы, обеспечивающие жизненно важные проявления развивающегося организма.</w:t>
      </w:r>
    </w:p>
    <w:p w:rsidR="006E14EB" w:rsidRDefault="00A833B7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Развитие определенного органа плода зависит от состояния этого органа матери.</w:t>
      </w:r>
    </w:p>
    <w:p w:rsidR="006E14EB" w:rsidRDefault="006E14E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6E14E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E14EB" w:rsidRDefault="006E14E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E14EB" w:rsidRDefault="00A833B7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Биофизический профиль плода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A.M.Vintrilers,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1983 г.)</w:t>
      </w:r>
    </w:p>
    <w:p w:rsidR="006E14EB" w:rsidRDefault="00A833B7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Нестрессовый тест (НСТ)</w:t>
      </w:r>
    </w:p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75"/>
        <w:gridCol w:w="426"/>
        <w:gridCol w:w="8520"/>
      </w:tblGrid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и более акцелераций ЧСС не менее 15 уд/мин продолжительностью не менее 15 сек, связанных с движением плода за 20 мин наблюдения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 акцелерации ЧСС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1-0 акцелераций ЧСС</w:t>
            </w:r>
          </w:p>
        </w:tc>
      </w:tr>
    </w:tbl>
    <w:p w:rsidR="006E14EB" w:rsidRDefault="00A833B7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Дыхательные движения плода (ДДП)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75"/>
        <w:gridCol w:w="426"/>
        <w:gridCol w:w="8520"/>
      </w:tblGrid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одного эпизода ДДП продолжительностью 60 сек. и более за 30 мин. Наблюдения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одного эпизода ДДП от 30 до 60 сек. за 30 мин. наблюдения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ДДП менее 30 сек. или их отсутствие за 30 мин. наблюдения</w:t>
            </w:r>
          </w:p>
        </w:tc>
      </w:tr>
      <w:tr w:rsidR="006E14EB"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Двигательная активность плода (ДА)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3 генерализованных движений за 30 мин. наблюдения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 генерализованных движения за 30 мин. наблюдения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генерализованных движений за 30 мин. наблюдения</w:t>
            </w:r>
          </w:p>
        </w:tc>
      </w:tr>
      <w:tr w:rsidR="006E14EB"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 сопоставлении ощущений матери о движении плода с данными эхографии совпадение составляет 80-85%. Движения плода более интенсивны в вечернее время, увеличение их числа происходит с 20 по 32 неделю беременности, в последние 2 месяца беременности число движений плода уменьшается. Снижение интенсивности движений при нарушениях состояния плода происходит на 12-96 часов раньше, чем изменения на ЭКГ плода.</w:t>
            </w:r>
          </w:p>
        </w:tc>
      </w:tr>
      <w:tr w:rsidR="006E14EB"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Тонус плода (ТП)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 эпизод и более разгибания с возвратом в сгибательное положение позвоночника и конечностей за 30 мин.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одного эпизода разгибания с возвратом в сгибание либо конечностей, либо позвоночника.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конечности в разгибательном положении</w:t>
            </w:r>
          </w:p>
        </w:tc>
      </w:tr>
      <w:tr w:rsidR="006E14EB"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Объем околоплодных вод (ООВ)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 четко определяются в матке, вертикальный диаметр свободного участка вод 2 см и более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вертикальный диаметр свободного участка вод 1-2 см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тесное расположение мелких частей плода, вертикальный диаметр свободного участка вод менее 1 см</w:t>
            </w:r>
          </w:p>
        </w:tc>
      </w:tr>
      <w:tr w:rsidR="006E14EB"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Степень зрелости плаценты (СЗП) - по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P.A.Urannum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, 1979 г.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зрелости плаценты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плацента по задней стенке матки и определение степени зрелости затруднено</w:t>
            </w:r>
          </w:p>
        </w:tc>
      </w:tr>
      <w:tr w:rsidR="006E14E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б.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зрелости плаценты</w:t>
            </w:r>
          </w:p>
        </w:tc>
      </w:tr>
    </w:tbl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809"/>
        <w:gridCol w:w="7813"/>
      </w:tblGrid>
      <w:tr w:rsidR="006E14E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8-12 баллов</w:t>
            </w:r>
          </w:p>
        </w:tc>
        <w:tc>
          <w:tcPr>
            <w:tcW w:w="7813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нормальная оценка</w:t>
            </w:r>
          </w:p>
        </w:tc>
      </w:tr>
      <w:tr w:rsidR="006E14E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баллов</w:t>
            </w:r>
          </w:p>
        </w:tc>
        <w:tc>
          <w:tcPr>
            <w:tcW w:w="7813" w:type="dxa"/>
            <w:tcBorders>
              <w:top w:val="nil"/>
              <w:left w:val="nil"/>
              <w:bottom w:val="nil"/>
              <w:right w:val="nil"/>
            </w:tcBorders>
          </w:tcPr>
          <w:p w:rsidR="006E14EB" w:rsidRDefault="00A833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первичном выявлении рассматривается как сомнительная оценка, возможно развитие осложнений (гипоксия, асфиксия, мертворождение). Повторная оценка в 7 баллов, оценка в 5 баллов и ниже рассматриваются как “страдание плода” и свидетельствуют о высоком риске развития перинатальных гипоксических осложнений.</w:t>
            </w:r>
          </w:p>
        </w:tc>
      </w:tr>
    </w:tbl>
    <w:p w:rsidR="006E14EB" w:rsidRDefault="006E14E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Последние две недели беременности и две недели после рождения у плода-новорожденного наблюдается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гипобиоз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.При морфологической и функциональной готовности всех основных органов и систем жизнеобеспечения отмечается на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чрезвычайные раздражители</w:t>
      </w:r>
      <w:r>
        <w:rPr>
          <w:rFonts w:ascii="Times New Roman" w:hAnsi="Times New Roman" w:cs="Times New Roman"/>
          <w:sz w:val="24"/>
          <w:szCs w:val="24"/>
          <w:lang w:val="ru-RU"/>
        </w:rPr>
        <w:t>: уменьшение двигательной активности, снижение ЧСС, снижение интенсивности метаболических процессов, низкое потребление О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продукции СО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, доминирование анаэробного гликолиза, ацидоз, гипогликемия, пойкилотермия, иммунологическая толерантность.</w:t>
      </w:r>
    </w:p>
    <w:p w:rsidR="006E14EB" w:rsidRDefault="00A833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Гипобиоз - защитный механизм, обеспечивающий резистентность организма плода-новорожденного к неблагоприятным воздействиям окружающей среды (Дизна С.Н. Явления физиологического гипобиоза плода и новорожденного // Акушерство и гинекология. - 1989. - №№ 1, 9-14).</w:t>
      </w:r>
      <w:bookmarkStart w:id="0" w:name="_GoBack"/>
      <w:bookmarkEnd w:id="0"/>
    </w:p>
    <w:sectPr w:rsidR="006E14EB">
      <w:headerReference w:type="default" r:id="rId7"/>
      <w:pgSz w:w="11907" w:h="16840" w:code="9"/>
      <w:pgMar w:top="1134" w:right="1134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EB" w:rsidRDefault="00A833B7">
      <w:r>
        <w:separator/>
      </w:r>
    </w:p>
  </w:endnote>
  <w:endnote w:type="continuationSeparator" w:id="0">
    <w:p w:rsidR="006E14EB" w:rsidRDefault="00A8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EB" w:rsidRDefault="00A833B7">
      <w:r>
        <w:separator/>
      </w:r>
    </w:p>
  </w:footnote>
  <w:footnote w:type="continuationSeparator" w:id="0">
    <w:p w:rsidR="006E14EB" w:rsidRDefault="00A83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4EB" w:rsidRDefault="00A833B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6E14EB" w:rsidRDefault="006E14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077F8"/>
    <w:multiLevelType w:val="singleLevel"/>
    <w:tmpl w:val="369666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8502177"/>
    <w:multiLevelType w:val="singleLevel"/>
    <w:tmpl w:val="369666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B7"/>
    <w:rsid w:val="006E14EB"/>
    <w:rsid w:val="00A833B7"/>
    <w:rsid w:val="00FC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AC02D0-B7B4-4989-9D20-3DA7ED07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MS Sans Serif" w:hAnsi="MS Sans Serif" w:cs="MS Sans Seri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character" w:customStyle="1" w:styleId="a6">
    <w:name w:val="номер страницы"/>
    <w:basedOn w:val="a3"/>
    <w:uiPriority w:val="99"/>
  </w:style>
  <w:style w:type="character" w:styleId="a7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1630</Words>
  <Characters>9291</Characters>
  <Application>Microsoft Office Word</Application>
  <DocSecurity>0</DocSecurity>
  <Lines>77</Lines>
  <Paragraphs>21</Paragraphs>
  <ScaleCrop>false</ScaleCrop>
  <Company>TRAVEL Technology Ltd.</Company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Оплодотворение, имплантация, плацентация</dc:title>
  <dc:subject/>
  <dc:creator>Unknown</dc:creator>
  <cp:keywords/>
  <dc:description/>
  <cp:lastModifiedBy>admin</cp:lastModifiedBy>
  <cp:revision>2</cp:revision>
  <cp:lastPrinted>1996-05-25T13:00:00Z</cp:lastPrinted>
  <dcterms:created xsi:type="dcterms:W3CDTF">2014-04-27T22:37:00Z</dcterms:created>
  <dcterms:modified xsi:type="dcterms:W3CDTF">2014-04-27T22:37:00Z</dcterms:modified>
</cp:coreProperties>
</file>