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003" w:rsidRPr="007C6CC5" w:rsidRDefault="00B85003" w:rsidP="007C6CC5">
      <w:pPr>
        <w:pStyle w:val="a8"/>
        <w:spacing w:line="360" w:lineRule="auto"/>
        <w:jc w:val="center"/>
        <w:rPr>
          <w:b/>
        </w:rPr>
      </w:pPr>
      <w:r w:rsidRPr="007C6CC5">
        <w:rPr>
          <w:b/>
        </w:rPr>
        <w:t>Щодо деяких питань зовнішньої політики України у її відносинах з НАТО</w:t>
      </w:r>
    </w:p>
    <w:p w:rsidR="007C6CC5" w:rsidRPr="007C6CC5" w:rsidRDefault="007C6CC5" w:rsidP="007C6CC5">
      <w:pPr>
        <w:pStyle w:val="a8"/>
        <w:spacing w:line="360" w:lineRule="auto"/>
        <w:jc w:val="center"/>
        <w:rPr>
          <w:b/>
        </w:rPr>
      </w:pPr>
    </w:p>
    <w:p w:rsidR="00B85003" w:rsidRPr="007C6CC5" w:rsidRDefault="00B85003" w:rsidP="007C6CC5">
      <w:pPr>
        <w:pStyle w:val="a8"/>
        <w:spacing w:line="360" w:lineRule="auto"/>
        <w:jc w:val="center"/>
        <w:rPr>
          <w:b/>
        </w:rPr>
      </w:pPr>
      <w:r w:rsidRPr="007C6CC5">
        <w:rPr>
          <w:b/>
        </w:rPr>
        <w:t>ЗМІСТ</w:t>
      </w:r>
    </w:p>
    <w:p w:rsidR="00B85003" w:rsidRPr="007C6CC5" w:rsidRDefault="00B85003" w:rsidP="007C6CC5">
      <w:pPr>
        <w:pStyle w:val="a8"/>
        <w:spacing w:line="360" w:lineRule="auto"/>
      </w:pPr>
    </w:p>
    <w:p w:rsidR="00B85003" w:rsidRPr="007C6CC5" w:rsidRDefault="00B85003" w:rsidP="007C6CC5">
      <w:pPr>
        <w:pStyle w:val="1"/>
        <w:spacing w:line="360" w:lineRule="auto"/>
        <w:jc w:val="center"/>
        <w:rPr>
          <w:i w:val="0"/>
          <w:smallCaps w:val="0"/>
          <w:lang w:val="uk-UA"/>
        </w:rPr>
      </w:pPr>
      <w:bookmarkStart w:id="0" w:name="_Toc135554396"/>
      <w:r w:rsidRPr="007C6CC5">
        <w:rPr>
          <w:i w:val="0"/>
          <w:smallCaps w:val="0"/>
          <w:lang w:val="uk-UA"/>
        </w:rPr>
        <w:t>Розвиток і нинішній стан відносин Україна-НАТО</w:t>
      </w:r>
      <w:bookmarkEnd w:id="0"/>
    </w:p>
    <w:p w:rsidR="007C6CC5" w:rsidRDefault="007C6CC5" w:rsidP="007C6CC5">
      <w:pPr>
        <w:pStyle w:val="a8"/>
        <w:spacing w:line="360" w:lineRule="auto"/>
      </w:pPr>
    </w:p>
    <w:p w:rsidR="002B0B53" w:rsidRPr="007C6CC5" w:rsidRDefault="00B85003" w:rsidP="007C6CC5">
      <w:pPr>
        <w:pStyle w:val="a8"/>
        <w:spacing w:line="360" w:lineRule="auto"/>
      </w:pPr>
      <w:r w:rsidRPr="007C6CC5">
        <w:t xml:space="preserve">Україна та НАТО мають чималу історію відносин. Напрацьовано значну договірно-правову базу двосторонніх стосунків. </w:t>
      </w:r>
    </w:p>
    <w:p w:rsidR="002B0B53" w:rsidRPr="007C6CC5" w:rsidRDefault="00B85003" w:rsidP="007C6CC5">
      <w:pPr>
        <w:pStyle w:val="a8"/>
        <w:spacing w:line="360" w:lineRule="auto"/>
      </w:pPr>
      <w:r w:rsidRPr="007C6CC5">
        <w:t xml:space="preserve">У березні 1992 р. Україна стала членом Ради Північноатлантичного співробітництва (РПАС). </w:t>
      </w:r>
    </w:p>
    <w:p w:rsidR="00B85003" w:rsidRPr="007C6CC5" w:rsidRDefault="00B85003" w:rsidP="007C6CC5">
      <w:pPr>
        <w:pStyle w:val="a8"/>
        <w:spacing w:line="360" w:lineRule="auto"/>
      </w:pPr>
      <w:r w:rsidRPr="007C6CC5">
        <w:t xml:space="preserve">У 1997 р. Україна стає </w:t>
      </w:r>
      <w:r w:rsidR="00067BEF" w:rsidRPr="007C6CC5">
        <w:t>спів засновницею</w:t>
      </w:r>
      <w:r w:rsidRPr="007C6CC5">
        <w:t xml:space="preserve"> та учасником наступниці РПАС – Ради євроатлантичного партнерства (РЄАП), яка на сьогодні налічує 26 держав-членів НАТО та 20 країн-партнерів.</w:t>
      </w:r>
    </w:p>
    <w:p w:rsidR="00B85003" w:rsidRPr="007C6CC5" w:rsidRDefault="00B85003" w:rsidP="007C6CC5">
      <w:pPr>
        <w:pStyle w:val="a8"/>
        <w:spacing w:line="360" w:lineRule="auto"/>
      </w:pPr>
      <w:r w:rsidRPr="007C6CC5">
        <w:t xml:space="preserve">Починаючи з 1994 р., наша держава бере активну участь у програмі “Партнерство заради миру” (ПЗМ </w:t>
      </w:r>
    </w:p>
    <w:p w:rsidR="002B0B53" w:rsidRPr="007C6CC5" w:rsidRDefault="00B85003" w:rsidP="007C6CC5">
      <w:pPr>
        <w:pStyle w:val="a8"/>
        <w:spacing w:line="360" w:lineRule="auto"/>
      </w:pPr>
      <w:r w:rsidRPr="007C6CC5">
        <w:t xml:space="preserve">Україна пройшла шлях від Хартії про особливе партнерство, підписаної 09.07.1997 р. в Мадриді, через План дій, схвалений 22.11.2002 р. у Празі,, в рамках якого реалізується щорічний Цільовий план Україна – НАТО, до Інтенсифікованого діалогу з НАТО з питань набуття членства та відповідних реформ, який було започатковано 21.04.2005 р. у Вільнюсі. У рамках такого діалогу розглядається повний діапазон політичних, військових і фінансових питань, пов’язаних з членством в Альянсі. </w:t>
      </w:r>
    </w:p>
    <w:p w:rsidR="00B85003" w:rsidRPr="007C6CC5" w:rsidRDefault="00B85003" w:rsidP="007C6CC5">
      <w:pPr>
        <w:pStyle w:val="a8"/>
        <w:spacing w:line="360" w:lineRule="auto"/>
      </w:pPr>
      <w:r w:rsidRPr="007C6CC5">
        <w:t xml:space="preserve">Цільовий план Україна – НАТО на 2006 р. за своєю філософією та структурою побудовано за схемою Плану дій щодо членства в НАТО (ПДЧ). Виконання ПДЧ є останнім етапом на шляху до отримання країною-претендентом запрошення приєднатися до Альянсу. </w:t>
      </w:r>
    </w:p>
    <w:p w:rsidR="00B85003" w:rsidRPr="007C6CC5" w:rsidRDefault="00B85003" w:rsidP="007C6CC5">
      <w:pPr>
        <w:pStyle w:val="a8"/>
        <w:spacing w:line="360" w:lineRule="auto"/>
      </w:pPr>
      <w:r w:rsidRPr="007C6CC5">
        <w:t>На сьогодні, 15 двосторонніх документів регулюють відносини Україна-НАТО. Ще 17 внутрішніх правових актів України та НАТО слугують правовою базою розбудови взаємин.</w:t>
      </w:r>
    </w:p>
    <w:p w:rsidR="00067BEF" w:rsidRPr="007C6CC5" w:rsidRDefault="00B85003" w:rsidP="007C6CC5">
      <w:pPr>
        <w:pStyle w:val="a8"/>
        <w:spacing w:line="360" w:lineRule="auto"/>
      </w:pPr>
      <w:r w:rsidRPr="007C6CC5">
        <w:t>З квітня 1999 р., згідно з положеннями Хартії, формат відносин переведено у площину спільного форуму – Комісії Україна-НАТО (КУН).</w:t>
      </w:r>
    </w:p>
    <w:p w:rsidR="00B85003" w:rsidRPr="007C6CC5" w:rsidRDefault="00B85003" w:rsidP="007C6CC5">
      <w:pPr>
        <w:pStyle w:val="a8"/>
        <w:spacing w:line="360" w:lineRule="auto"/>
      </w:pPr>
      <w:r w:rsidRPr="007C6CC5">
        <w:t>У лютому 2005 р. на саміті Комісії Україна-НАТО в Брюсселі Президент України В.Ющенко проголосив набуття членства в НАТО кінцевою метою співробітництва України з Альянсом. Цей сигнал України був позитивно сприйнятий у Брюсселі, і вже в квітні на засіданні Комісії Україна-НАТО на рівні міністрів закордонних справ було ініційовано Інтенсифікований діалог з питань членства та відповідних реформ.</w:t>
      </w:r>
    </w:p>
    <w:p w:rsidR="00B85003" w:rsidRPr="007C6CC5" w:rsidRDefault="00B85003" w:rsidP="007C6CC5">
      <w:pPr>
        <w:pStyle w:val="a8"/>
        <w:spacing w:line="360" w:lineRule="auto"/>
      </w:pPr>
      <w:r w:rsidRPr="007C6CC5">
        <w:t>У червні 2005 р., на реалізацію рішень Вільнюського засідання Комісії Україна-НАТО, Генсекретарю НАТО під час його візиту в Україну був переданий Початковий дискусійний документ, у якому викладена позиція держави з реформування усіх сфер суспільного життя країни для досягнення високих стандартів державного управління, які встановлені у розвинутих демократичних країнах.</w:t>
      </w:r>
    </w:p>
    <w:p w:rsidR="002B0B53" w:rsidRPr="007C6CC5" w:rsidRDefault="00B85003" w:rsidP="007C6CC5">
      <w:pPr>
        <w:pStyle w:val="a8"/>
        <w:spacing w:line="360" w:lineRule="auto"/>
      </w:pPr>
      <w:r w:rsidRPr="007C6CC5">
        <w:t>Практичне обговорення підходів України та НАТО в рамках запровадження Інтенсифікованого діалогу відбулося під час візиту делегації Північноатлантичної Ради (ПАР) НА</w:t>
      </w:r>
      <w:r w:rsidR="002B0B53" w:rsidRPr="007C6CC5">
        <w:t>ТО  в Україну 18-20 жовтня 2005</w:t>
      </w:r>
      <w:r w:rsidRPr="007C6CC5">
        <w:t>р.</w:t>
      </w:r>
    </w:p>
    <w:p w:rsidR="00B85003" w:rsidRPr="007C6CC5" w:rsidRDefault="00B85003" w:rsidP="007C6CC5">
      <w:pPr>
        <w:pStyle w:val="a8"/>
        <w:spacing w:line="360" w:lineRule="auto"/>
      </w:pPr>
      <w:r w:rsidRPr="007C6CC5">
        <w:t xml:space="preserve">Під час засідання КУН на рівні міністрів закордонних справ 28 квітня 2006 р. в Софії (Болгарія) держави-члени НАТО високо оцінили проведення вільних та справедливих парламентських виборів в Україні у відповідності із загальновизнаними демократичними стандартами. </w:t>
      </w:r>
    </w:p>
    <w:p w:rsidR="002B0B53" w:rsidRPr="007C6CC5" w:rsidRDefault="002B0B53" w:rsidP="007C6CC5">
      <w:pPr>
        <w:pStyle w:val="1"/>
        <w:spacing w:line="360" w:lineRule="auto"/>
        <w:jc w:val="both"/>
        <w:rPr>
          <w:b w:val="0"/>
          <w:i w:val="0"/>
          <w:smallCaps w:val="0"/>
          <w:lang w:val="uk-UA"/>
        </w:rPr>
      </w:pPr>
      <w:bookmarkStart w:id="1" w:name="_Toc135554397"/>
    </w:p>
    <w:p w:rsidR="00B85003" w:rsidRPr="007C6CC5" w:rsidRDefault="00B85003" w:rsidP="007C6CC5">
      <w:pPr>
        <w:pStyle w:val="1"/>
        <w:spacing w:line="360" w:lineRule="auto"/>
        <w:jc w:val="center"/>
        <w:rPr>
          <w:i w:val="0"/>
          <w:smallCaps w:val="0"/>
          <w:lang w:val="uk-UA"/>
        </w:rPr>
      </w:pPr>
      <w:r w:rsidRPr="007C6CC5">
        <w:rPr>
          <w:i w:val="0"/>
          <w:smallCaps w:val="0"/>
          <w:lang w:val="uk-UA"/>
        </w:rPr>
        <w:t>Переваги членства</w:t>
      </w:r>
      <w:bookmarkEnd w:id="1"/>
    </w:p>
    <w:p w:rsidR="007C6CC5" w:rsidRDefault="007C6CC5" w:rsidP="007C6CC5">
      <w:pPr>
        <w:pStyle w:val="a8"/>
        <w:spacing w:line="360" w:lineRule="auto"/>
      </w:pPr>
    </w:p>
    <w:p w:rsidR="00B85003" w:rsidRPr="007C6CC5" w:rsidRDefault="00B85003" w:rsidP="007C6CC5">
      <w:pPr>
        <w:pStyle w:val="a8"/>
        <w:spacing w:line="360" w:lineRule="auto"/>
      </w:pPr>
      <w:r w:rsidRPr="007C6CC5">
        <w:t>Процес входження до НАТО є стимулюючим фактором для проведення внутрішніх політичних та соціально-економічних реформ усіх сфер суспільного життя, гармонізації законодавства з правовими нормами та демократичними принципами країн-членів НАТО, прискорення трансформації Збройних Сил України, встановлення цивільного демократичного контролю над оборонним та безпековим секторами держави.</w:t>
      </w:r>
    </w:p>
    <w:p w:rsidR="00B85003" w:rsidRPr="007C6CC5" w:rsidRDefault="00B85003" w:rsidP="007C6CC5">
      <w:pPr>
        <w:pStyle w:val="a8"/>
        <w:spacing w:line="360" w:lineRule="auto"/>
      </w:pPr>
      <w:r w:rsidRPr="007C6CC5">
        <w:t xml:space="preserve">Після вступу до Альянсу Україна братиме безпосередню участь у процесах вироблення і прийняття рішень щодо подальшого розвитку європейської і євроатлантичної безпеки, які не лише стосуються інтересів національної безпеки України та НАТО, але й формують сучасне середовище євроатлантичної безпеки, включаючи безпеку України. При цьому варто звернути увагу на принцип прийняття рішень в Альянсі – усі без винятку рішення в НАТО приймаються консенсусом. </w:t>
      </w:r>
    </w:p>
    <w:p w:rsidR="00B85003" w:rsidRPr="007C6CC5" w:rsidRDefault="00B85003" w:rsidP="007C6CC5">
      <w:pPr>
        <w:pStyle w:val="a8"/>
        <w:spacing w:line="360" w:lineRule="auto"/>
      </w:pPr>
      <w:r w:rsidRPr="007C6CC5">
        <w:t>Україна отримає безпрецедентні додаткові гарантії забезпечення державного суверенітету, територіальної цілісності та непорушності державних кордонів відповідно до Вашингтонського договору. Завдяки цьому у майбутньому Україна не буде об‘єктом провокацій на кшталт закликів до перегляду статусу Севастополя та Кримського півострова, які регулярно лунають з уст високих посадовців та офіційних осіб Російської Федерації, або нагнітання напруження, як було під час конфлікту навколо острова Коса Тузла.</w:t>
      </w:r>
    </w:p>
    <w:p w:rsidR="00B85003" w:rsidRPr="007C6CC5" w:rsidRDefault="00B85003" w:rsidP="007C6CC5">
      <w:pPr>
        <w:pStyle w:val="a8"/>
        <w:spacing w:line="360" w:lineRule="auto"/>
      </w:pPr>
      <w:r w:rsidRPr="007C6CC5">
        <w:t xml:space="preserve">Вступ України в НАТО сприятиме покращенню інвестиційної привабливості країни в очах міжнародних інвесторів. Досвід країн попередніх хвиль розширення свідчить про значне зростання прямих закордонних інвестицій. У 1997 р. в економіку Польщі було інвестовано 2,7 млрд. доларів, у 1998 – 5 млрд., а в 1999 р. – році вступу Польщі до НАТО – вже 8 млрд. доларів США. Щодо Чехії й Угорщини цифри ще більш вражаючі. У 1997 р. прямі іноземні інвестиції в економіку цих країн становили відповідно 4 і 6,2 мільярди, у 1998 – 9,8 і 10, 2 млрд., у 1999 р. – 12,8 і 14,5 млрд. доларів США. Після вступу Болгарії  до НАТО іноземні інвестиції в економіку цієї країни зросли вдвічі. У 2004 р., після вступу Румунії до НАТО, обсяг прямих іноземних інвестицій зріс на 141% порівняно з 2003 р. </w:t>
      </w:r>
    </w:p>
    <w:p w:rsidR="00B85003" w:rsidRPr="007C6CC5" w:rsidRDefault="00B85003" w:rsidP="007C6CC5">
      <w:pPr>
        <w:pStyle w:val="a8"/>
        <w:spacing w:line="360" w:lineRule="auto"/>
      </w:pPr>
      <w:r w:rsidRPr="007C6CC5">
        <w:t>НАТО надає ефективну практичну допомогу державам у випадку надзвичайних ситуацій та техногенних катастроф. І в Україні бували випадки, коли допомога НАТО була вчасною і потрібною. Це і ліквідація аварії на колекторних спорудах Харкова наприкінці 90-х років, і наслідків повеней у Закарпатті у 1998 та 2001 рр. Саме НАТО забезпечило оперативне надання допомоги США в ліквідації наслідків урагану „Катріна” та Пакистану  у ліквідації наслідків землетрусу.</w:t>
      </w:r>
    </w:p>
    <w:p w:rsidR="00B85003" w:rsidRPr="007C6CC5" w:rsidRDefault="00B85003" w:rsidP="007C6CC5">
      <w:pPr>
        <w:pStyle w:val="a8"/>
        <w:spacing w:line="360" w:lineRule="auto"/>
      </w:pPr>
      <w:r w:rsidRPr="007C6CC5">
        <w:t>Щодо позитивів, які Україна вже має сьогодні, слід згадати проект НАТО щодо створення Трастового фонду для ліквідації надлишків застарілих боєприпасів в Україні, а їх у нас 133 тис. тон, 1,5 млн. одиниць стрілецької зброї та 1 тис. одиниць переносних зенітно-ракетних комплексів. 1 грудня 2005 р. у Харківській області розпочався перший трирічний етап проекту, на який вже зараз передбачено 4,1 млн. євро, а вартість усього першого етапу становитиме близько 8 млн. євро. Загалом проект розрахований на 12 років, і на його реалізацію передбачається витратити більше 25 млн. євро.</w:t>
      </w:r>
    </w:p>
    <w:p w:rsidR="00B85003" w:rsidRPr="007C6CC5" w:rsidRDefault="00B85003" w:rsidP="007C6CC5">
      <w:pPr>
        <w:pStyle w:val="a8"/>
        <w:spacing w:line="360" w:lineRule="auto"/>
      </w:pPr>
      <w:r w:rsidRPr="007C6CC5">
        <w:t>НАТО надає допомогу Україні у вирішенні проблем звільнених у запас військовослужбовців. Завдяки фінансовій підтримці Альянсу з грудня 1999 р. по 2005 р. було організовано 39 курсів з вивчення іноземних мов (англійська, німецька, французька, італійська), які закінчили 447 колишніх військовослужбовців, і 15 курсів з основ ведення підприємницької діяльності для звільнених у запас офіцерів. У 2005 р. було проведено 8 мовних курсів і 6 спеціалізованих курсів, на що було виділено 150 тис. євро. На фінансове забезпечення потреб програми перепідготовки військовослужбовців на 2006 рік передбачено 300 тис. євро.</w:t>
      </w:r>
    </w:p>
    <w:p w:rsidR="00B85003" w:rsidRPr="007C6CC5" w:rsidRDefault="00B85003" w:rsidP="007C6CC5">
      <w:pPr>
        <w:pStyle w:val="a8"/>
        <w:spacing w:line="360" w:lineRule="auto"/>
      </w:pPr>
      <w:r w:rsidRPr="007C6CC5">
        <w:t>Саме завдяки НАТО було збережено найбільший у Європі полігон  “Яворів” у Львівській області, до забезпечення діяльності якого залучаються тисячі цивільних осіб та десятки приватних компаній малого та середнього бізнесу, отримуючи постійну роботу та замовлення на надання побутових та інших послуг, на поставки продуктів харчування, одягу тощо.</w:t>
      </w:r>
    </w:p>
    <w:p w:rsidR="00B85003" w:rsidRPr="007C6CC5" w:rsidRDefault="00B85003" w:rsidP="007C6CC5">
      <w:pPr>
        <w:pStyle w:val="a8"/>
        <w:spacing w:line="360" w:lineRule="auto"/>
      </w:pPr>
      <w:r w:rsidRPr="007C6CC5">
        <w:t>В якості держави-члена НАТО Латвія надає допомогу Україні у сфері забезпечення екологічної безпеки військової діяльності, переходу до єдиних стандартів НАТО з питань екологічного законодавства та отримання практичних навичок щодо реалізації міжнародних екологічних проектів.</w:t>
      </w:r>
    </w:p>
    <w:p w:rsidR="00B85003" w:rsidRPr="007C6CC5" w:rsidRDefault="00B85003" w:rsidP="007C6CC5">
      <w:pPr>
        <w:pStyle w:val="a8"/>
        <w:spacing w:line="360" w:lineRule="auto"/>
      </w:pPr>
      <w:r w:rsidRPr="007C6CC5">
        <w:t>Членство України в НАТО матиме глибоке цивілізаційне значення для нашої країни. Адже входження до Альянсу означає для нас, перш за все, приєднання до сім’ї націй, що мають спільні демократичні цінності, які цілком поділяє український народ. Національним інтересам України відповідає взаємодія з країнами-членами НАТО у боротьбі проти міжнародного тероризму, розповсюдження зброї масового знищення, нелегального обігу наркотиків, торгівлі людьми, в питаннях захисту навколишнього середовища, становлення громадянського суспільства тощо.</w:t>
      </w:r>
    </w:p>
    <w:p w:rsidR="00B85003" w:rsidRPr="007C6CC5" w:rsidRDefault="00B85003" w:rsidP="007C6CC5">
      <w:pPr>
        <w:pStyle w:val="a8"/>
        <w:spacing w:line="360" w:lineRule="auto"/>
      </w:pPr>
    </w:p>
    <w:p w:rsidR="00B85003" w:rsidRPr="007C6CC5" w:rsidRDefault="00B85003" w:rsidP="007C6CC5">
      <w:pPr>
        <w:pStyle w:val="1"/>
        <w:spacing w:line="360" w:lineRule="auto"/>
        <w:jc w:val="center"/>
        <w:rPr>
          <w:i w:val="0"/>
          <w:smallCaps w:val="0"/>
          <w:lang w:val="uk-UA"/>
        </w:rPr>
      </w:pPr>
      <w:bookmarkStart w:id="2" w:name="_Toc135554399"/>
      <w:r w:rsidRPr="007C6CC5">
        <w:rPr>
          <w:i w:val="0"/>
          <w:smallCaps w:val="0"/>
          <w:lang w:val="uk-UA"/>
        </w:rPr>
        <w:t>Фінансовий аспект членства України в Альянсі</w:t>
      </w:r>
      <w:bookmarkEnd w:id="2"/>
    </w:p>
    <w:p w:rsidR="007C6CC5" w:rsidRPr="007C6CC5" w:rsidRDefault="007C6CC5" w:rsidP="007C6CC5">
      <w:pPr>
        <w:pStyle w:val="22"/>
        <w:spacing w:line="360" w:lineRule="auto"/>
        <w:ind w:firstLine="709"/>
        <w:jc w:val="center"/>
        <w:rPr>
          <w:b/>
          <w:color w:val="auto"/>
          <w:lang w:val="uk-UA"/>
        </w:rPr>
      </w:pPr>
    </w:p>
    <w:p w:rsidR="00B85003" w:rsidRPr="007C6CC5" w:rsidRDefault="00B85003" w:rsidP="007C6CC5">
      <w:pPr>
        <w:pStyle w:val="22"/>
        <w:spacing w:line="360" w:lineRule="auto"/>
        <w:ind w:firstLine="709"/>
        <w:rPr>
          <w:color w:val="auto"/>
          <w:lang w:val="uk-UA"/>
        </w:rPr>
      </w:pPr>
      <w:r w:rsidRPr="007C6CC5">
        <w:rPr>
          <w:color w:val="auto"/>
          <w:lang w:val="uk-UA"/>
        </w:rPr>
        <w:t>Членство країни в Організації Північноатлантичного договору передбачає щорічну сплату внесків до цивільного та військового бюджетів Альянсу, а також бюджету програми інвестицій у безпеку НАТО.</w:t>
      </w:r>
    </w:p>
    <w:p w:rsidR="007C6CC5" w:rsidRPr="007C6CC5" w:rsidRDefault="00B85003">
      <w:pPr>
        <w:spacing w:line="360" w:lineRule="auto"/>
        <w:ind w:firstLine="709"/>
        <w:jc w:val="both"/>
        <w:rPr>
          <w:rFonts w:ascii="Courier New" w:hAnsi="Courier New"/>
          <w:sz w:val="28"/>
          <w:lang w:val="ru-RU" w:eastAsia="en-US"/>
        </w:rPr>
      </w:pPr>
      <w:r w:rsidRPr="007C6CC5">
        <w:rPr>
          <w:sz w:val="28"/>
          <w:lang w:eastAsia="en-US"/>
        </w:rPr>
        <w:t xml:space="preserve">Розміри цих внесків, які сплачуються частинами тричі на рік, залежать від таких факторів, як рівень економічного розвитку країни та участь або неучасть в окремих програмах, які здійснюються в рамках військового бюджету НАТО. </w:t>
      </w:r>
      <w:bookmarkStart w:id="3" w:name="_GoBack"/>
      <w:bookmarkEnd w:id="3"/>
    </w:p>
    <w:sectPr w:rsidR="007C6CC5" w:rsidRPr="007C6CC5" w:rsidSect="007C6CC5">
      <w:headerReference w:type="even" r:id="rId6"/>
      <w:headerReference w:type="default" r:id="rId7"/>
      <w:footnotePr>
        <w:numRestart w:val="eachPage"/>
      </w:footnotePr>
      <w:pgSz w:w="11907" w:h="16840"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111" w:rsidRDefault="00997111">
      <w:pPr>
        <w:rPr>
          <w:rFonts w:ascii="Courier New" w:hAnsi="Courier New"/>
          <w:lang w:val="ru-RU" w:eastAsia="en-US"/>
        </w:rPr>
      </w:pPr>
      <w:r>
        <w:rPr>
          <w:rFonts w:ascii="Courier New" w:hAnsi="Courier New"/>
          <w:lang w:val="ru-RU" w:eastAsia="en-US"/>
        </w:rPr>
        <w:separator/>
      </w:r>
    </w:p>
  </w:endnote>
  <w:endnote w:type="continuationSeparator" w:id="0">
    <w:p w:rsidR="00997111" w:rsidRDefault="00997111">
      <w:pPr>
        <w:rPr>
          <w:rFonts w:ascii="Courier New" w:hAnsi="Courier New"/>
          <w:lang w:val="ru-RU" w:eastAsia="en-US"/>
        </w:rPr>
      </w:pPr>
      <w:r>
        <w:rPr>
          <w:rFonts w:ascii="Courier New" w:hAnsi="Courier New"/>
          <w:lang w:val="ru-RU"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111" w:rsidRDefault="00997111">
      <w:pPr>
        <w:rPr>
          <w:rFonts w:ascii="Courier New" w:hAnsi="Courier New"/>
          <w:lang w:val="ru-RU" w:eastAsia="en-US"/>
        </w:rPr>
      </w:pPr>
      <w:r>
        <w:rPr>
          <w:rFonts w:ascii="Courier New" w:hAnsi="Courier New"/>
          <w:lang w:val="ru-RU" w:eastAsia="en-US"/>
        </w:rPr>
        <w:separator/>
      </w:r>
    </w:p>
  </w:footnote>
  <w:footnote w:type="continuationSeparator" w:id="0">
    <w:p w:rsidR="00997111" w:rsidRDefault="00997111">
      <w:pPr>
        <w:rPr>
          <w:rFonts w:ascii="Courier New" w:hAnsi="Courier New"/>
          <w:lang w:val="ru-RU" w:eastAsia="en-US"/>
        </w:rPr>
      </w:pPr>
      <w:r>
        <w:rPr>
          <w:rFonts w:ascii="Courier New" w:hAnsi="Courier New"/>
          <w:lang w:val="ru-RU"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003" w:rsidRDefault="00B85003">
    <w:pPr>
      <w:pStyle w:val="a3"/>
      <w:framePr w:wrap="around" w:vAnchor="text" w:hAnchor="margin" w:xAlign="right" w:y="1"/>
      <w:rPr>
        <w:rStyle w:val="a5"/>
      </w:rPr>
    </w:pPr>
  </w:p>
  <w:p w:rsidR="00B85003" w:rsidRDefault="00B8500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003" w:rsidRDefault="008B4FC3">
    <w:pPr>
      <w:pStyle w:val="a3"/>
      <w:framePr w:wrap="around" w:vAnchor="text" w:hAnchor="margin" w:xAlign="right" w:y="1"/>
      <w:rPr>
        <w:rStyle w:val="a5"/>
      </w:rPr>
    </w:pPr>
    <w:r>
      <w:rPr>
        <w:rStyle w:val="a5"/>
        <w:noProof/>
      </w:rPr>
      <w:t>2</w:t>
    </w:r>
  </w:p>
  <w:p w:rsidR="00B85003" w:rsidRDefault="00B85003">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003"/>
    <w:rsid w:val="0000196E"/>
    <w:rsid w:val="00067BEF"/>
    <w:rsid w:val="002B0B53"/>
    <w:rsid w:val="002F725D"/>
    <w:rsid w:val="003F0CCF"/>
    <w:rsid w:val="004B512E"/>
    <w:rsid w:val="006670CA"/>
    <w:rsid w:val="0073784F"/>
    <w:rsid w:val="007C6CC5"/>
    <w:rsid w:val="008909D4"/>
    <w:rsid w:val="008B4FC3"/>
    <w:rsid w:val="00997111"/>
    <w:rsid w:val="00B85003"/>
    <w:rsid w:val="00CC19A8"/>
    <w:rsid w:val="00D20AAD"/>
    <w:rsid w:val="00E7180B"/>
    <w:rsid w:val="00EB1446"/>
    <w:rsid w:val="00ED6588"/>
    <w:rsid w:val="00EF2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099646-6229-4F93-A129-636CE2AF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5003"/>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85003"/>
    <w:pPr>
      <w:tabs>
        <w:tab w:val="center" w:pos="4536"/>
        <w:tab w:val="right" w:pos="9072"/>
      </w:tabs>
    </w:pPr>
    <w:rPr>
      <w:rFonts w:ascii="Courier New" w:hAnsi="Courier New"/>
      <w:lang w:val="ru-RU" w:eastAsia="en-US"/>
    </w:rPr>
  </w:style>
  <w:style w:type="character" w:customStyle="1" w:styleId="a4">
    <w:name w:val="Верхній колонтитул Знак"/>
    <w:link w:val="a3"/>
    <w:uiPriority w:val="99"/>
    <w:semiHidden/>
    <w:rPr>
      <w:rFonts w:ascii="Courier New" w:hAnsi="Courier New"/>
      <w:sz w:val="24"/>
      <w:lang w:eastAsia="en-US"/>
    </w:rPr>
  </w:style>
  <w:style w:type="character" w:styleId="a5">
    <w:name w:val="page number"/>
    <w:uiPriority w:val="99"/>
    <w:rsid w:val="00B85003"/>
    <w:rPr>
      <w:rFonts w:cs="Times New Roman"/>
    </w:rPr>
  </w:style>
  <w:style w:type="paragraph" w:styleId="a6">
    <w:name w:val="Body Text"/>
    <w:basedOn w:val="a"/>
    <w:link w:val="a7"/>
    <w:uiPriority w:val="99"/>
    <w:rsid w:val="00B85003"/>
    <w:pPr>
      <w:spacing w:line="360" w:lineRule="auto"/>
      <w:jc w:val="both"/>
    </w:pPr>
    <w:rPr>
      <w:rFonts w:ascii="Arial" w:hAnsi="Arial"/>
      <w:sz w:val="28"/>
      <w:lang w:val="ru-RU" w:eastAsia="en-US"/>
    </w:rPr>
  </w:style>
  <w:style w:type="character" w:customStyle="1" w:styleId="a7">
    <w:name w:val="Основний текст Знак"/>
    <w:link w:val="a6"/>
    <w:uiPriority w:val="99"/>
    <w:semiHidden/>
    <w:rPr>
      <w:rFonts w:ascii="Courier New" w:hAnsi="Courier New"/>
      <w:sz w:val="24"/>
      <w:lang w:eastAsia="en-US"/>
    </w:rPr>
  </w:style>
  <w:style w:type="paragraph" w:styleId="2">
    <w:name w:val="Body Text 2"/>
    <w:basedOn w:val="a"/>
    <w:link w:val="20"/>
    <w:uiPriority w:val="99"/>
    <w:rsid w:val="00B85003"/>
    <w:pPr>
      <w:jc w:val="center"/>
    </w:pPr>
    <w:rPr>
      <w:b/>
      <w:sz w:val="28"/>
      <w:lang w:eastAsia="en-US"/>
    </w:rPr>
  </w:style>
  <w:style w:type="character" w:customStyle="1" w:styleId="20">
    <w:name w:val="Основний текст 2 Знак"/>
    <w:link w:val="2"/>
    <w:uiPriority w:val="99"/>
    <w:semiHidden/>
    <w:rPr>
      <w:rFonts w:ascii="Courier New" w:hAnsi="Courier New"/>
      <w:sz w:val="24"/>
      <w:lang w:eastAsia="en-US"/>
    </w:rPr>
  </w:style>
  <w:style w:type="paragraph" w:styleId="a8">
    <w:name w:val="Body Text Indent"/>
    <w:basedOn w:val="a"/>
    <w:link w:val="a9"/>
    <w:uiPriority w:val="99"/>
    <w:rsid w:val="00B85003"/>
    <w:pPr>
      <w:ind w:firstLine="709"/>
      <w:jc w:val="both"/>
    </w:pPr>
    <w:rPr>
      <w:sz w:val="28"/>
      <w:lang w:eastAsia="en-US"/>
    </w:rPr>
  </w:style>
  <w:style w:type="character" w:customStyle="1" w:styleId="a9">
    <w:name w:val="Основний текст з відступом Знак"/>
    <w:link w:val="a8"/>
    <w:uiPriority w:val="99"/>
    <w:semiHidden/>
    <w:rPr>
      <w:rFonts w:ascii="Courier New" w:hAnsi="Courier New"/>
      <w:sz w:val="24"/>
      <w:lang w:eastAsia="en-US"/>
    </w:rPr>
  </w:style>
  <w:style w:type="paragraph" w:customStyle="1" w:styleId="1">
    <w:name w:val="Стиль1"/>
    <w:basedOn w:val="21"/>
    <w:rsid w:val="00B85003"/>
    <w:pPr>
      <w:ind w:left="0" w:firstLine="709"/>
    </w:pPr>
    <w:rPr>
      <w:rFonts w:ascii="Times New Roman" w:hAnsi="Times New Roman"/>
      <w:b/>
      <w:i/>
      <w:smallCaps/>
      <w:sz w:val="28"/>
    </w:rPr>
  </w:style>
  <w:style w:type="paragraph" w:styleId="10">
    <w:name w:val="toc 1"/>
    <w:basedOn w:val="a"/>
    <w:next w:val="a"/>
    <w:autoRedefine/>
    <w:uiPriority w:val="39"/>
    <w:semiHidden/>
    <w:rsid w:val="00B85003"/>
    <w:pPr>
      <w:spacing w:before="120" w:after="120"/>
    </w:pPr>
    <w:rPr>
      <w:b/>
      <w:caps/>
      <w:sz w:val="20"/>
      <w:lang w:val="ru-RU" w:eastAsia="en-US"/>
    </w:rPr>
  </w:style>
  <w:style w:type="paragraph" w:styleId="22">
    <w:name w:val="Body Text Indent 2"/>
    <w:basedOn w:val="a"/>
    <w:link w:val="23"/>
    <w:uiPriority w:val="99"/>
    <w:rsid w:val="00B85003"/>
    <w:pPr>
      <w:widowControl w:val="0"/>
      <w:ind w:firstLine="708"/>
      <w:jc w:val="both"/>
    </w:pPr>
    <w:rPr>
      <w:color w:val="FF0000"/>
      <w:sz w:val="28"/>
      <w:lang w:val="ru-RU" w:eastAsia="en-US"/>
    </w:rPr>
  </w:style>
  <w:style w:type="character" w:customStyle="1" w:styleId="23">
    <w:name w:val="Основний текст з відступом 2 Знак"/>
    <w:link w:val="22"/>
    <w:uiPriority w:val="99"/>
    <w:semiHidden/>
    <w:rPr>
      <w:sz w:val="24"/>
      <w:lang w:val="uk-UA"/>
    </w:rPr>
  </w:style>
  <w:style w:type="paragraph" w:styleId="aa">
    <w:name w:val="Normal (Web)"/>
    <w:basedOn w:val="a"/>
    <w:uiPriority w:val="99"/>
    <w:rsid w:val="00B85003"/>
    <w:pPr>
      <w:spacing w:before="100" w:after="100"/>
    </w:pPr>
    <w:rPr>
      <w:lang w:val="ru-RU" w:eastAsia="en-US"/>
    </w:rPr>
  </w:style>
  <w:style w:type="paragraph" w:styleId="21">
    <w:name w:val="toc 2"/>
    <w:basedOn w:val="a"/>
    <w:next w:val="a"/>
    <w:autoRedefine/>
    <w:uiPriority w:val="39"/>
    <w:semiHidden/>
    <w:rsid w:val="00B85003"/>
    <w:pPr>
      <w:ind w:left="240"/>
    </w:pPr>
    <w:rPr>
      <w:rFonts w:ascii="Courier New" w:hAnsi="Courier New"/>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Words>
  <Characters>7021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ЛНАВМ 806 "А"</Company>
  <LinksUpToDate>false</LinksUpToDate>
  <CharactersWithSpaces>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Irina</cp:lastModifiedBy>
  <cp:revision>2</cp:revision>
  <dcterms:created xsi:type="dcterms:W3CDTF">2014-09-12T06:18:00Z</dcterms:created>
  <dcterms:modified xsi:type="dcterms:W3CDTF">2014-09-12T06:18:00Z</dcterms:modified>
</cp:coreProperties>
</file>