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79" w:rsidRDefault="00940C7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409770047"/>
      <w:bookmarkStart w:id="1" w:name="_Toc411529581"/>
      <w:bookmarkStart w:id="2" w:name="_Toc411787826"/>
      <w:bookmarkStart w:id="3" w:name="_Toc409770046"/>
      <w:r>
        <w:rPr>
          <w:b/>
          <w:bCs/>
          <w:color w:val="000000"/>
          <w:sz w:val="32"/>
          <w:szCs w:val="32"/>
        </w:rPr>
        <w:t>Гроші та грошові реформи Росії в період 1895 – 1924 року</w:t>
      </w:r>
    </w:p>
    <w:p w:rsidR="00940C79" w:rsidRDefault="00940C7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</w:t>
      </w:r>
      <w:r>
        <w:rPr>
          <w:color w:val="000000"/>
          <w:sz w:val="28"/>
          <w:szCs w:val="28"/>
          <w:lang w:val="ru-RU"/>
        </w:rPr>
        <w:t xml:space="preserve"> с</w:t>
      </w:r>
      <w:r>
        <w:rPr>
          <w:color w:val="000000"/>
          <w:sz w:val="28"/>
          <w:szCs w:val="28"/>
        </w:rPr>
        <w:t>тудента 7 групи 4 курсу Фінансово-економічного факультету спеціальності 0104 Вертелецького Д.Б.</w:t>
      </w:r>
    </w:p>
    <w:p w:rsidR="00940C79" w:rsidRDefault="00940C7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Міністерство освіти України</w:t>
      </w:r>
    </w:p>
    <w:p w:rsidR="00940C79" w:rsidRDefault="00940C7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Київський Національний Економічний Університет</w:t>
      </w:r>
    </w:p>
    <w:p w:rsidR="00940C79" w:rsidRDefault="00940C7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“ Банківська справа ”</w:t>
      </w:r>
    </w:p>
    <w:p w:rsidR="00940C79" w:rsidRDefault="00940C7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Київ –1998</w:t>
      </w:r>
      <w:bookmarkEnd w:id="0"/>
      <w:bookmarkEnd w:id="1"/>
      <w:bookmarkEnd w:id="2"/>
      <w:bookmarkEnd w:id="3"/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Грошова реформа 1895 – 1897 була ретельно підготовлена і здійснювалась поступово на протязі 3 років. Для неї було створено певні передумови. Основною з них було накопичення в Росії значних запасів золота . Це пояснюється тим , що Росія приступила до розробок золотих родовищ раніше більшості провідних країн ( на 35 років раніше ніж Північна Америка , на 37 років ніж Австралія та на 50 років ніж Південна Африка ) . Щорічний добуток складав 34 – 42 тони . На початок реформи за рахунок внутрішніх джерел та зовнішніх операцій Державний банк сформував золотий фонд у розмірі 475,2 млн. крб. , а на кінець реформи – 1095,5 млн. крб..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протязі 1896 року проводив роботу фінансовий комітет під проводом імператора. 2 січня 1897 року було прийнято рішення про запровадження золотого монометалізму.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Встановлення золотого стандарту та вільний обмін паперових грошей на золото сприяв подальшому укріпленню рубля , та запобіганню коливань товарних цін в країні. Після реформи Держбанк продовжив курс на збільшення золотого запасу і до початку 1914 року він склав 1688 млн. крб.. По кількості дорогоцінного металу Росія займала тоді перше місце у світі. Така політика призвела до того , що поступово до 1912 року покриття банкнот золотом було доведено до 108,3% Отже навіть якщо всі банкноти було б пред’явлено в банки для обміну на золото то це було б зроблено без проблем для банку.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Обмін паперових грошей на золоту монету проводився без жодних обмежень. Держбанк заохочував розповсюдження золотих монет , намагаючись наситити їми грошовий ринок . Перші роки після реформи всі платежі проводилися банком виключно в золотій монеті , щоб привчити до неї населення ; кредитні білети видавалися лише у виключних випадках. Золото надійно увійшло в господарський обіг . Золотий стандарт став реальним та дійовим фактором . Однак стабільність грошової системи мале іще один аспект – співвідношення з валютами інших країн. Валютний паритет ( тобто співвідношення грошових одиниць окремих країн ) встановлювався на основі вмісту в них золота.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передодні другої світової війни котування російського карбованця були наступними: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 ам. Долар = 1,943 крб ( зворотній курс 0,514 )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 німецька марка = 0,642 крб ( зворотній курс 2,16 )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 Фр. Франк = 0,374 ( зворотній курс 2,66 )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Але треба зазначити , що валютний паритет в більшості випадків відрізнявся від валютного курсу ( який називали також вексельним , тому що засобом міжнародних розрахунків слугував в більшості випадків переказний вексель ) . Валютний курс коливався навколо паритету у межах так званих золотих точок , що позначали таке відхилення від паритету при якому замість векселя вигідніше переслати реальне золото . Отже відстань від паритету до золотої точки визначалася видатками на пересилку золота. Але в кризових випадках курс інколи виривався за вказані межі.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Як же в дійсності складався курс карбованця в період з грошової реформи Вітте до першої світової війни 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кінці 19 на початку 20 ст. російський карбованець котувався відносно франка, марки і фунта стерлінгів . Долар тоді не вважався світовою валютою . На початок реформи карбованець офіціально прирівнювався до 4 франків але в дійсності дорівнював 2,5 франків це співвідношення було вирішено закріпити – карбованець був девальвований і прирівняний до 2 цілих двох третіх фіранку. Цей паритет відповідав золотому вмісту і купівельній цінності двох валют. Фактично це дало змогу залишити ціни на внутрішньому ринку незмінними і полегшити проходження реформи. Встановлений курс вдалося витримати . До 1913 року він коливався у межах 2.57 – 2.69 франку за карбованець. Російський карбованець котувався на всіх біржах світу 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Найбільше випробовування надбанням реформи мало місце в період російсько-японської війни та революційних заворушень 1905 року: було різко збільшено випуск кредитних білетів ( на 13 % ) , почалися масові вилучення вкладів населення , для запобігання краху Держбанк вимушений був надати банкам кредит . Це все відбилося на курсі карбованця він різко упав до з 2.16 до 2.12 марок . Зважаючи на вищесказане Держбанк прийняв дуже ефективний захід , який зараз називається валютною інтервенцією : він продав у 1906 році іноземної валюти на 324,4 млн. крб ( за наступні 5 років було продано лише 120 млн. крб.)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Вже через місяць це призвело до вирівнювання курсу карбованця , а через півроку навіть до зростання . Це підіймало авторитет Росії, але також і підіймало вартість російського експорту , тому Держбанк почав проводити політику на утримання росту курсу карбованця поступово скуповуючи розпродану валюту. Так держбанк маневрував чергуючи покупки та продажу іноземної валюти у відповідності з ситуацією , що формувалася на грошовому ринку. Карбованець так зміцнів , що вже було необхідно стримувати його зростання ( за 1 крб давали 2.177 марки замість 2.16 за паритетом .) За 1906 – 1911 роки продажу карбованця склали 1180 млн. крб , що превисило продажі в 9 разів . Таким чином Держбанк поповнював валютні резерви не підриваючи цінність власної валюти. Сильний карбованець надав змогу знизити облікову ставку до 4.5 % 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Але треба зазначити , що укріплення карбованця , зниження процентних ставок проходило поступово – цим намагалися запобігти значних коливань в економіці і досягти стабільності. Після деякого відпливу золота з банків в період 1904 – 1905 років в наслідок зростання довіри до карбованця почався зворотній процес – населення понесло золото в банки в обмін на кредитні білети. Це надало змогу скоротити кількість паперових грошей випущених для покриття військових витрат на 120 млн. крб. Випуск паперових грошей знаходився під жорстким контролем . Випуск банкнот до 300 млн. повинен був бути забезпеченим золотом як мінімум на половину , випуск вище 300 млн. забезпечувався золотом на 100 % 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Законодавство Росії по регулюванню грошового обігу було значно жорсткіше ніж законодавство інших країн. Також треба зазначити , що Держбанк майже ніколи не використовував своє емісійне право на 100 % . Не використане емісійне право вимірювалось: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1900 – 132,8 %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1901 – 93,8 %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1904 – 109,2 %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1910 – 45,9 %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Навіть у складному 1905 році Держбанк міг випустити іще 17 млн. карбованців , але не зробив цього.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Наступним дійовим засобом обмеження маси готівки стало запровадження безготівкових розрахунків. Для цього в 1898 р. при Петербурзькій конторі Держбанку була відкрита розрахункова палата. До 1912 р. таких палат було вже 40 в різних містах Росії. В роботі цих палат приймали участь всі банки , великі банкірські контори та дома , товариства взаємного кредиту, великі торгово-промислові фірми. Щорічно через палати проходили платежі на мілліарди крб 70 % з них здійснювалась шляхом заліку взаємних вимог.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Упорядкування грошового господарства позитивно вплинуло на зовнішню торгівлю. За період з 1881 по 1913 надходження золота від експорту перевищили видатки по імпорту на 7751 млн. крб.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Але в 1913 в Европі почали формуватися перші ознаки майбутніх негараздів. У зв’язку з різким підвищенням облікової ставки в ряді країн Росія теж була вимушена підвищити її в грудні 1912 р. до 6 % . Стійкість карбованця підтримувалась колосальними запасами золота і гнучкою дивізною політикою.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Російський карбованець та цінні папери стійко трималися аж до самого початку першої світової війни, чого не можна сказати про валюти інших країн. З початком війни Росія та інші країни Европи припинили обмін паперових грошей на золото, однак золоте забезпечення карбованця збереглось ( в 1914 році грошова маса склала 3,2 млрд. при золотому запасі 1.6 млрд. ) Це Було менше ніж передбачено законом 1897р , але набагато більше ніж в довоєнній Німеччині.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умовах припинення обміну паперових грошей на золото всі очікували обвалу карбованця , однак цього не сталося . За 5 місяців 1914 р крб. Подешевів лише на 16.8 %. Ілюстративними є показники за наступні два роки війни .Якщо прийняти фінансову позицію валют на 1 грудня 1914р. за 100 , то середній вексельний курс дорівнював: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940C79" w:rsidRPr="00940C79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Грудень 1915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Грудень 1916</w:t>
            </w:r>
          </w:p>
        </w:tc>
      </w:tr>
      <w:tr w:rsidR="00940C79" w:rsidRPr="00940C79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Росія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76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70</w:t>
            </w:r>
          </w:p>
        </w:tc>
      </w:tr>
      <w:tr w:rsidR="00940C79" w:rsidRPr="00940C79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Німеччина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86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74</w:t>
            </w:r>
          </w:p>
        </w:tc>
      </w:tr>
      <w:tr w:rsidR="00940C79" w:rsidRPr="00940C79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Австро-Угорщина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74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940C79" w:rsidRPr="00940C79" w:rsidRDefault="00940C79">
            <w:pPr>
              <w:widowControl w:val="0"/>
              <w:jc w:val="both"/>
              <w:rPr>
                <w:color w:val="000000"/>
              </w:rPr>
            </w:pPr>
            <w:r w:rsidRPr="00940C79">
              <w:rPr>
                <w:color w:val="000000"/>
              </w:rPr>
              <w:t>59</w:t>
            </w:r>
          </w:p>
        </w:tc>
      </w:tr>
    </w:tbl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Однак не все було так гарно . З 1914 по 1917 бюджетний дефіцит зростав з 1.898 млрд до 22.568 млрд. Разом зі зростанням дефіциту зростала емісія грошей , незабезпечений випуск склав після лютневої революції 8.4 млрд. Тимчасовий уряд довів емісію до 16 млрд. ( Радянський уряд після перемоги жовтневої революції установило норму емісії – 50 млрд ) . Склалися всі умови для інфляції та знецінення карбованця. Загальна сума державного боргу на березень 1917 склала 35 млрд і витрати на його обслуговування повинні були скласти 1.8 млрд . Основна проблема держборгу полягала у його структурі : основна частина короткотермінові ( 6 місяців та 1 рік ) боргові зобов’язання . Для обслуговування держборгу та фінансування дефіциту бюджету був обраний шлях залучення нових позичок шляхом випуску державних боргових зобов’язань. При чому наголос ставився на внутрішні позички , що давало можливість відтягнути частину готівки з обороту. Але перед цім Уряд провів деякі заходи на фондовому ринку , що мали на меті показати інвесторам готовність держави проводити економічну політику зразка більшості капіталістичних країн.: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Підтвердження відповідальності по зобов’язанням царського уряду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Спрощена процедура створення АТ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Полегшені умови допуску іноземних інвесторів на російський фондовий ринок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Внутрішні інвестори негайно відреагували на ці дії . В березні 1917 р. 30 найбільших банків дали згоду на реалізацію першої довгострокової позички Тимчасового уряду. Однак успіху ця позичка не мала : в умовах інфляції попит на довгострокові ЦП падає.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цих умовах було прийнято рішення про проведення примусової державної позички. Сума позички повинна була скласти 10 млрд., термін 20 років , дохідність 5,5 % річних . Облігації можна було продавати та здавати у заставу , доходи по них не обкладалися податками.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Розмістити облігації позички пропонувалось серед 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Власників нерухомості, земельних угідь, ЦП, військових підрядників, банків , СК ( 60 % позички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Платників подоходного податку. При чому сума підписки була пропорційною сумі отримуваного доходу. ( 40 % позички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принципі все це створювало достатні умови для функціонування повноцінного вторинного ринку облігацій цього займу. Якщо б цю позичку було б здійснено то фінансове положення країни було б значно покращено: вдалося вилучити 2/3 грошової маси , що припинило зростання цін і укріпило б карбованець. Крім того країна отримала б значний фінансовий ресурс для фінансування видатків бюджету.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Причиною провалу такої б здавалося гарної акції стало продовження Росією участі у війні і при чому невдалої участі. Часті поразки вкінець підірвали економіку і призвели до серії криз . Якщо проведення займу було б здійснення раніше на півроку ( березень 1917 ) коли воєнні дії було тимчасово припинено і намічалася стабілізація , то цілком вірогідно що все було б навпаки.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Невдалі дії Тимчасового уряду на фондовому ринку призвели до падіння карбованця : на Лондонській біржі курс фунта по відношенню до карбованця зріс з 12-12 крб за фунт у вересні 1914р до 35.5 крб. На передодні Жовтневої революції. Наслідком цього було зникнення в Росії золота з обороту , воно було тезавровано. На кінець 1917 року грошовий обіг Росії складався лише з паперових грошей без ніякої домішки золота чи срібла.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чином невдала економічна та воєнна політика привели , зміни урядів , економічні кризи сильно підірвали грошову систему. Всього за три роки карбованець знецінився по відношенню до долара США на 50 % і перетворився з повноцінного золотого на знецінений паперовий.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Наступним періодом стало правління уряду більшовиків. Однак зміна влади не принесла нічого крім подальшого падіння купівельної спроможності карбованця 9 за період 1918 -1921 у 188 раз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Назріла необхідність проведення грошової реформи. Її проведення було обтяжене господарською розрухою, неврожаєм 1921 р. гострим бюджетним дефіцитом , а також пережитками воєнного комунізму. В наслідок введення товарного виробництва та дозволу вільної купівлі продажу товарів до кінця 1922 р. були досягненні перші успіхи у відбудові народного господарства і розвертанні товарообігу. Це сформувало передумови для заміни грошових знаків стійкою валютою – червінцями, що являли собою банкноту Держбанку.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Номінал складав –1,2,3,5,10,25,50 червінців.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Вже до середини 1922 р. червінці складали 37 % у складі всієї грошової маси, а на 1 жовтня 1923 р. – 74 %. Випуск та становлення червінця стало першим етапом грошової реформи. Наступним етапом була повна заміна червінцями ден знаків , що були причиною спекуляції та загрожували положенню червінця.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Особлива роль в завершенні грошової реформи відводилась 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відновлення і інтенсифікації с/г , перехід від натуральних до грошових с/г податків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Раціоналізація виробництва та зниження цін на промислову продукцію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Розвиток торгівельної мережі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Укріплення зовнішньої торгівлі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Реформування видатків бюджету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Зниження вартості кредиту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Провадження вищеназваних заходів привело до зростання купівельної спроможності населення , в першу чергу селян , що в свою чергу стало причиною зростання внутрішнього попиту.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Завершення реформи ознаменувалося випуском в обіг в лютому 1924р. державних казначейських білетів в 1,3,5 карбованців золотом , розмінних срібних монет ( 10 , 15, 20, 50коп та 1 крб ) та розмінних мідних монет ( 1,2,3,5 коп. При цьому ден знаки обмінювались на червонці по курсу 50000 ден знаків за 1 червінець.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15 лютого 1924 року червінці складали 90 % грошового обігу. На 1.06.24 обмін ден знаків був припинений , що фактично означало завершення реформи . Грошова емісія для покриття дефіциту бюджету була заборонена.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Наслідки реформи 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Введення твердої , забезпеченої валюти ( на 25 % золотом на 75 % короткостроковими векселями та ліквідними товарами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Запровадження конвертації валюти ( 1 долар = 1.95 черв )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Стабілізація грошового обороту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Ліквідація дефіциту бюджету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Оздоровлення товарно-грошових відносин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Стабілізація господарства в цілому , та ріст ВВП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Зростання рівня життя населення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Тверда конвертована червона валюта протрималась до початку 1928 року . В ряді причин деконвертації та послабленні позицій червінця можна назвати :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Невеликі розміри золотого запасу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Заготівельні складнощі 1928 – 1929 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Зниження обсягу с/г експорту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Відхід від принципів НЕПу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Тому , як тільки сальдо торгівельного балансу у зв’язку зі зривом планових завдань 1925 р. стало від’ємним , золоті запаси зменшились, посилилась інфляція і грошова система країни розшаталась. Держбанк відмінив з 2 половини 1926 року вільну купівлю продаж іноземної валюти на внутрішньому ринку, пізніше був заборонений ввіз та вивіз вітчизняної валюти закордон.</w:t>
      </w:r>
    </w:p>
    <w:p w:rsidR="00940C79" w:rsidRDefault="00940C7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Андрюшин С.А Банковская система России .Либеральн</w:t>
      </w:r>
      <w:r>
        <w:rPr>
          <w:color w:val="000000"/>
          <w:lang w:val="ru-RU"/>
        </w:rPr>
        <w:t>ые</w:t>
      </w:r>
      <w:r>
        <w:rPr>
          <w:color w:val="000000"/>
        </w:rPr>
        <w:t xml:space="preserve"> реформы и их последствия . Деньги и кредит 1997 № 4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Белоусов В.Д.</w:t>
      </w:r>
      <w:r>
        <w:rPr>
          <w:color w:val="000000"/>
        </w:rPr>
        <w:tab/>
        <w:t>Преобразования в денежном обращении в 1914 – 1917 годах .Финансы 1995 № 3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Добкин Л.З.</w:t>
      </w:r>
      <w:r>
        <w:rPr>
          <w:color w:val="000000"/>
        </w:rPr>
        <w:tab/>
        <w:t>Рубль был устойчивой валютой Деньги и кредит 1996 № 8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Ильин С. Денежная реформа 1922- 1924 годов . Финансы 1995 № 11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Потемкин А.П. Развитие системы госсударственных займов в Росси .Финансы 1997 № 1,7</w:t>
      </w: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</w:p>
    <w:p w:rsidR="00940C79" w:rsidRDefault="00940C79">
      <w:pPr>
        <w:widowControl w:val="0"/>
        <w:spacing w:before="120"/>
        <w:ind w:firstLine="567"/>
        <w:jc w:val="both"/>
        <w:rPr>
          <w:color w:val="000000"/>
        </w:rPr>
      </w:pPr>
      <w:bookmarkStart w:id="4" w:name="_GoBack"/>
      <w:bookmarkEnd w:id="4"/>
    </w:p>
    <w:sectPr w:rsidR="00940C79">
      <w:pgSz w:w="11906" w:h="16838"/>
      <w:pgMar w:top="1134" w:right="1134" w:bottom="1134" w:left="1134" w:header="1440" w:footer="1440" w:gutter="0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01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DE10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161C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66560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850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513A87"/>
    <w:multiLevelType w:val="singleLevel"/>
    <w:tmpl w:val="3EC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5DCE6D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71"/>
  <w:drawingGridVerticalSpacing w:val="48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E92"/>
    <w:rsid w:val="004E22F1"/>
    <w:rsid w:val="00940C79"/>
    <w:rsid w:val="009A4BF3"/>
    <w:rsid w:val="00A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7C020D-6308-4229-A509-99EC1724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360" w:lineRule="auto"/>
      <w:ind w:firstLine="720"/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toc 1"/>
    <w:basedOn w:val="a"/>
    <w:next w:val="a"/>
    <w:autoRedefine/>
    <w:uiPriority w:val="99"/>
    <w:pPr>
      <w:spacing w:before="120"/>
    </w:pPr>
    <w:rPr>
      <w:b/>
      <w:bCs/>
      <w:i/>
      <w:iCs/>
      <w:sz w:val="28"/>
      <w:szCs w:val="28"/>
    </w:rPr>
  </w:style>
  <w:style w:type="paragraph" w:styleId="3">
    <w:name w:val="Body Text 3"/>
    <w:basedOn w:val="a"/>
    <w:link w:val="30"/>
    <w:uiPriority w:val="99"/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  <w:lang w:val="uk-UA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9727</Words>
  <Characters>5545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Грошова реформа 1895 – 1897 була ретельно підготовлена і здійснювалась поступово на протязі 3 років</vt:lpstr>
    </vt:vector>
  </TitlesOfParts>
  <Company> </Company>
  <LinksUpToDate>false</LinksUpToDate>
  <CharactersWithSpaces>15242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Грошова реформа 1895 – 1897 була ретельно підготовлена і здійснювалась поступово на протязі 3 років</dc:title>
  <dc:subject/>
  <dc:creator>Butch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2014-01-26T17:01:00Z</dcterms:created>
  <dcterms:modified xsi:type="dcterms:W3CDTF">2014-01-26T17:01:00Z</dcterms:modified>
</cp:coreProperties>
</file>